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B9" w:rsidRDefault="007E35B9" w:rsidP="00545787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FB7DD7" w:rsidRPr="007E35B9" w:rsidRDefault="00FB7DD7" w:rsidP="00545787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545787" w:rsidRPr="00545787" w:rsidRDefault="007662C3" w:rsidP="0054578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Connecticut Microgrid Program </w:t>
      </w:r>
      <w:r w:rsidR="00545787" w:rsidRPr="00545787">
        <w:rPr>
          <w:rFonts w:ascii="Arial" w:hAnsi="Arial" w:cs="Arial"/>
          <w:sz w:val="24"/>
          <w:szCs w:val="24"/>
        </w:rPr>
        <w:t>– Round 2</w:t>
      </w:r>
    </w:p>
    <w:p w:rsidR="00545787" w:rsidRPr="00545787" w:rsidRDefault="00545787" w:rsidP="005457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45787">
        <w:rPr>
          <w:rFonts w:ascii="Arial" w:hAnsi="Arial" w:cs="Arial"/>
          <w:b/>
          <w:sz w:val="24"/>
          <w:szCs w:val="24"/>
        </w:rPr>
        <w:t>Project Financing Information Sheet</w:t>
      </w:r>
    </w:p>
    <w:p w:rsidR="004B20F7" w:rsidRDefault="004B20F7" w:rsidP="00545787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FB7DD7" w:rsidRPr="007E35B9" w:rsidRDefault="00FB7DD7" w:rsidP="00545787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545787" w:rsidRPr="001F4E01" w:rsidRDefault="004B20F7" w:rsidP="00545787">
      <w:pPr>
        <w:spacing w:after="0"/>
        <w:rPr>
          <w:rFonts w:ascii="Arial" w:hAnsi="Arial" w:cs="Arial"/>
          <w:b/>
        </w:rPr>
      </w:pPr>
      <w:r w:rsidRPr="001F4E01">
        <w:rPr>
          <w:rFonts w:ascii="Arial" w:hAnsi="Arial" w:cs="Arial"/>
          <w:b/>
        </w:rPr>
        <w:t>About the Clean Energy Finance and Investment Authority</w:t>
      </w:r>
      <w:r w:rsidR="001F4E01" w:rsidRPr="001F4E01">
        <w:rPr>
          <w:rFonts w:ascii="Arial" w:hAnsi="Arial" w:cs="Arial"/>
          <w:b/>
        </w:rPr>
        <w:t xml:space="preserve"> (CEFIA)</w:t>
      </w:r>
      <w:r w:rsidR="001F4E01">
        <w:rPr>
          <w:rFonts w:ascii="Arial" w:hAnsi="Arial" w:cs="Arial"/>
          <w:b/>
        </w:rPr>
        <w:t>:</w:t>
      </w:r>
    </w:p>
    <w:p w:rsidR="00545787" w:rsidRPr="007E35B9" w:rsidRDefault="00545787" w:rsidP="00545787">
      <w:pPr>
        <w:spacing w:after="0"/>
        <w:rPr>
          <w:rFonts w:ascii="Arial" w:hAnsi="Arial" w:cs="Arial"/>
          <w:sz w:val="16"/>
          <w:szCs w:val="16"/>
        </w:rPr>
      </w:pPr>
    </w:p>
    <w:p w:rsidR="001F4E01" w:rsidRDefault="00545787" w:rsidP="0054578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CEFIA, the nation’s first state Green Bank, was created in 2011 by the Connecticut Legislature as part of Public Act 11-80 to support the Governor’s and legislature’s strategies to achieve cleaner, cheaper and more reliable </w:t>
      </w:r>
      <w:r w:rsidR="004B20F7">
        <w:rPr>
          <w:rFonts w:ascii="Arial" w:hAnsi="Arial" w:cs="Arial"/>
        </w:rPr>
        <w:t>energy sources through clean energy finance for Connecticut residents, businesses, municipalities and institutions.</w:t>
      </w:r>
    </w:p>
    <w:p w:rsidR="001F4E01" w:rsidRPr="007E35B9" w:rsidRDefault="001F4E01" w:rsidP="00545787">
      <w:pPr>
        <w:spacing w:after="0"/>
        <w:rPr>
          <w:rFonts w:ascii="Arial" w:hAnsi="Arial" w:cs="Arial"/>
          <w:sz w:val="16"/>
          <w:szCs w:val="16"/>
        </w:rPr>
      </w:pPr>
    </w:p>
    <w:p w:rsidR="001F4E01" w:rsidRPr="001F4E01" w:rsidRDefault="001F4E01" w:rsidP="0054578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CEFIA can assist municipalities and project developers:</w:t>
      </w:r>
    </w:p>
    <w:p w:rsidR="001F4E01" w:rsidRPr="007E35B9" w:rsidRDefault="001F4E01" w:rsidP="00545787">
      <w:pPr>
        <w:spacing w:after="0"/>
        <w:rPr>
          <w:rFonts w:ascii="Arial" w:hAnsi="Arial" w:cs="Arial"/>
          <w:sz w:val="16"/>
          <w:szCs w:val="16"/>
        </w:rPr>
      </w:pPr>
    </w:p>
    <w:p w:rsidR="001F4E01" w:rsidRDefault="001F4E01" w:rsidP="00277A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CEFIA is working to finance the deployment of microgrids, and will assist successful </w:t>
      </w:r>
      <w:r w:rsidR="00EF278D">
        <w:rPr>
          <w:rFonts w:ascii="Arial" w:hAnsi="Arial" w:cs="Arial"/>
        </w:rPr>
        <w:t xml:space="preserve">Connecticut Microgrid Program </w:t>
      </w:r>
      <w:r>
        <w:rPr>
          <w:rFonts w:ascii="Arial" w:hAnsi="Arial" w:cs="Arial"/>
        </w:rPr>
        <w:t>applicants in accessing, arranging and securing financing</w:t>
      </w:r>
      <w:r w:rsidR="00277A30">
        <w:rPr>
          <w:rFonts w:ascii="Arial" w:hAnsi="Arial" w:cs="Arial"/>
        </w:rPr>
        <w:t xml:space="preserve"> for</w:t>
      </w:r>
      <w:r>
        <w:rPr>
          <w:rFonts w:ascii="Arial" w:hAnsi="Arial" w:cs="Arial"/>
        </w:rPr>
        <w:t xml:space="preserve"> </w:t>
      </w:r>
      <w:r w:rsidR="00812D7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following components of a microgrid, which can generally be categorized as the onsite power generation, thermal energy distribution infrastructure and end use facility improvements required to implement a cost-effective microgrid:</w:t>
      </w:r>
    </w:p>
    <w:p w:rsidR="001F4E01" w:rsidRPr="007E35B9" w:rsidRDefault="001F4E01" w:rsidP="00545787">
      <w:pPr>
        <w:spacing w:after="0"/>
        <w:rPr>
          <w:rFonts w:ascii="Arial" w:hAnsi="Arial" w:cs="Arial"/>
          <w:sz w:val="16"/>
          <w:szCs w:val="16"/>
        </w:rPr>
      </w:pPr>
    </w:p>
    <w:p w:rsidR="001F4E01" w:rsidRDefault="001F4E01" w:rsidP="001F4E0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Generators, fuel cells, or any other type of electrical energy production source</w:t>
      </w:r>
    </w:p>
    <w:p w:rsidR="001F4E01" w:rsidRDefault="001F4E01" w:rsidP="001F4E0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Fuel tanks, piping, or fuel regulation equipment</w:t>
      </w:r>
    </w:p>
    <w:p w:rsidR="001F4E01" w:rsidRDefault="001F4E01" w:rsidP="001F4E0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Foundations, except for electrical interconnection equipment as defined above</w:t>
      </w:r>
    </w:p>
    <w:p w:rsidR="001F4E01" w:rsidRDefault="001F4E01" w:rsidP="001F4E0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Excavation, trenching, paving, etc. – except for underground electrical interconnection of the microgrid</w:t>
      </w:r>
    </w:p>
    <w:p w:rsidR="001F4E01" w:rsidRDefault="001F4E01" w:rsidP="001F4E0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Mechanical equipment or piping</w:t>
      </w:r>
    </w:p>
    <w:p w:rsidR="001F4E01" w:rsidRDefault="001F4E01" w:rsidP="001F4E0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Thermal insulation</w:t>
      </w:r>
    </w:p>
    <w:p w:rsidR="00B10DEF" w:rsidRPr="00B10DEF" w:rsidRDefault="00B10DEF" w:rsidP="00B10DEF">
      <w:pPr>
        <w:pStyle w:val="ListParagraph"/>
        <w:spacing w:after="0"/>
        <w:rPr>
          <w:rFonts w:ascii="Arial" w:hAnsi="Arial" w:cs="Arial"/>
        </w:rPr>
      </w:pPr>
    </w:p>
    <w:p w:rsidR="00277A30" w:rsidRDefault="00277A30" w:rsidP="00277A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 an effort to help</w:t>
      </w:r>
      <w:r w:rsidR="00B10DEF">
        <w:rPr>
          <w:rFonts w:ascii="Arial" w:hAnsi="Arial" w:cs="Arial"/>
        </w:rPr>
        <w:t xml:space="preserve"> clean energy </w:t>
      </w:r>
      <w:r>
        <w:rPr>
          <w:rFonts w:ascii="Arial" w:hAnsi="Arial" w:cs="Arial"/>
        </w:rPr>
        <w:t xml:space="preserve">projects become cost effective through lowering their cost of capital, CEFIA has developed </w:t>
      </w:r>
      <w:r w:rsidR="00B10DEF">
        <w:rPr>
          <w:rFonts w:ascii="Arial" w:hAnsi="Arial" w:cs="Arial"/>
        </w:rPr>
        <w:t xml:space="preserve">existing </w:t>
      </w:r>
      <w:r>
        <w:rPr>
          <w:rFonts w:ascii="Arial" w:hAnsi="Arial" w:cs="Arial"/>
        </w:rPr>
        <w:t>financial programs that utilize private capital</w:t>
      </w:r>
      <w:r w:rsidR="00B10DEF">
        <w:rPr>
          <w:rFonts w:ascii="Arial" w:hAnsi="Arial" w:cs="Arial"/>
        </w:rPr>
        <w:t xml:space="preserve"> and may be applicable to microgrids</w:t>
      </w:r>
      <w:r>
        <w:rPr>
          <w:rFonts w:ascii="Arial" w:hAnsi="Arial" w:cs="Arial"/>
        </w:rPr>
        <w:t>, including:</w:t>
      </w:r>
    </w:p>
    <w:p w:rsidR="007662C3" w:rsidRPr="007E35B9" w:rsidRDefault="007662C3" w:rsidP="001F4E01">
      <w:pPr>
        <w:spacing w:after="0"/>
        <w:rPr>
          <w:rFonts w:ascii="Arial" w:hAnsi="Arial" w:cs="Arial"/>
          <w:sz w:val="16"/>
          <w:szCs w:val="16"/>
        </w:rPr>
      </w:pPr>
    </w:p>
    <w:p w:rsidR="007662C3" w:rsidRDefault="007662C3" w:rsidP="007662C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7662C3">
        <w:rPr>
          <w:rFonts w:ascii="Arial" w:hAnsi="Arial" w:cs="Arial"/>
          <w:b/>
        </w:rPr>
        <w:t>Commercial Property Assessed Clean Energy (C-PACE)</w:t>
      </w:r>
    </w:p>
    <w:p w:rsidR="007E35B9" w:rsidRPr="00B05196" w:rsidRDefault="00FD0423" w:rsidP="00FD0423">
      <w:pPr>
        <w:spacing w:after="0"/>
        <w:ind w:left="720"/>
        <w:rPr>
          <w:rFonts w:ascii="Arial" w:hAnsi="Arial" w:cs="Arial"/>
          <w:sz w:val="20"/>
          <w:szCs w:val="20"/>
        </w:rPr>
      </w:pPr>
      <w:r w:rsidRPr="00B05196">
        <w:rPr>
          <w:rFonts w:ascii="Arial" w:hAnsi="Arial" w:cs="Arial"/>
          <w:sz w:val="20"/>
          <w:szCs w:val="20"/>
        </w:rPr>
        <w:t xml:space="preserve">Tax lien financing for building owners’ energy efficiency and clean energy improvements </w:t>
      </w:r>
    </w:p>
    <w:p w:rsidR="007662C3" w:rsidRPr="007662C3" w:rsidRDefault="007662C3" w:rsidP="007662C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7662C3">
        <w:rPr>
          <w:rFonts w:ascii="Arial" w:hAnsi="Arial" w:cs="Arial"/>
          <w:b/>
        </w:rPr>
        <w:t>Lead By Example</w:t>
      </w:r>
    </w:p>
    <w:p w:rsidR="007E35B9" w:rsidRPr="00B05196" w:rsidRDefault="00FD0423" w:rsidP="00FD0423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  <w:r w:rsidRPr="00B05196">
        <w:rPr>
          <w:rFonts w:ascii="Arial" w:hAnsi="Arial" w:cs="Arial"/>
          <w:sz w:val="20"/>
          <w:szCs w:val="20"/>
        </w:rPr>
        <w:t>Reduce energy use in state and local government buildings and operations with ESPC</w:t>
      </w:r>
    </w:p>
    <w:p w:rsidR="007662C3" w:rsidRPr="007662C3" w:rsidRDefault="007662C3" w:rsidP="007662C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7662C3">
        <w:rPr>
          <w:rFonts w:ascii="Arial" w:hAnsi="Arial" w:cs="Arial"/>
          <w:b/>
        </w:rPr>
        <w:t>Anaerobic Digestion</w:t>
      </w:r>
    </w:p>
    <w:p w:rsidR="007E35B9" w:rsidRPr="00B05196" w:rsidRDefault="00B05196" w:rsidP="00FD0423">
      <w:pPr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$6M in g</w:t>
      </w:r>
      <w:r w:rsidR="00FD0423" w:rsidRPr="00B05196">
        <w:rPr>
          <w:rFonts w:ascii="Arial" w:hAnsi="Arial" w:cs="Arial"/>
          <w:sz w:val="20"/>
          <w:szCs w:val="20"/>
        </w:rPr>
        <w:t>rants, loans and power purchase incentives to offset cost of investing in AD equipment</w:t>
      </w:r>
    </w:p>
    <w:p w:rsidR="007662C3" w:rsidRDefault="007662C3" w:rsidP="007662C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7662C3">
        <w:rPr>
          <w:rFonts w:ascii="Arial" w:hAnsi="Arial" w:cs="Arial"/>
          <w:b/>
        </w:rPr>
        <w:t>Combined Heat and Power Pilot Program</w:t>
      </w:r>
    </w:p>
    <w:p w:rsidR="007E35B9" w:rsidRPr="00B05196" w:rsidRDefault="00B05196" w:rsidP="00FD0423">
      <w:pPr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$5M in g</w:t>
      </w:r>
      <w:r w:rsidR="00FD0423" w:rsidRPr="00B05196">
        <w:rPr>
          <w:rFonts w:ascii="Arial" w:hAnsi="Arial" w:cs="Arial"/>
          <w:sz w:val="20"/>
          <w:szCs w:val="20"/>
        </w:rPr>
        <w:t>rants, loans and power purchase incentives to offset cost of investing in CHP equipme</w:t>
      </w:r>
      <w:r>
        <w:rPr>
          <w:rFonts w:ascii="Arial" w:hAnsi="Arial" w:cs="Arial"/>
          <w:sz w:val="20"/>
          <w:szCs w:val="20"/>
        </w:rPr>
        <w:t>n</w:t>
      </w:r>
      <w:r w:rsidRPr="00B05196">
        <w:rPr>
          <w:rFonts w:ascii="Arial" w:hAnsi="Arial" w:cs="Arial"/>
          <w:sz w:val="20"/>
          <w:szCs w:val="20"/>
        </w:rPr>
        <w:t>t</w:t>
      </w:r>
    </w:p>
    <w:p w:rsidR="007E35B9" w:rsidRPr="002A3749" w:rsidRDefault="007E35B9" w:rsidP="007662C3">
      <w:pPr>
        <w:spacing w:after="0"/>
        <w:rPr>
          <w:rFonts w:ascii="Arial" w:hAnsi="Arial" w:cs="Arial"/>
          <w:sz w:val="24"/>
          <w:szCs w:val="24"/>
        </w:rPr>
      </w:pPr>
    </w:p>
    <w:p w:rsidR="00B10DEF" w:rsidRDefault="00B10DE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B7DD7" w:rsidRDefault="00FB7DD7" w:rsidP="007662C3">
      <w:pPr>
        <w:spacing w:after="0"/>
        <w:rPr>
          <w:rFonts w:ascii="Arial" w:hAnsi="Arial" w:cs="Arial"/>
        </w:rPr>
      </w:pPr>
    </w:p>
    <w:p w:rsidR="00FF799B" w:rsidRDefault="007E35B9" w:rsidP="007662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10DEF">
        <w:rPr>
          <w:rFonts w:ascii="Arial" w:hAnsi="Arial" w:cs="Arial"/>
        </w:rPr>
        <w:t>dditionally or separately from existing programs,</w:t>
      </w:r>
      <w:r w:rsidR="00FF799B">
        <w:rPr>
          <w:rFonts w:ascii="Arial" w:hAnsi="Arial" w:cs="Arial"/>
        </w:rPr>
        <w:t xml:space="preserve"> </w:t>
      </w:r>
      <w:r w:rsidR="00B10DEF">
        <w:rPr>
          <w:rFonts w:ascii="Arial" w:hAnsi="Arial" w:cs="Arial"/>
        </w:rPr>
        <w:t xml:space="preserve">CEFIA may provide </w:t>
      </w:r>
      <w:r w:rsidR="00FF799B">
        <w:rPr>
          <w:rFonts w:ascii="Arial" w:hAnsi="Arial" w:cs="Arial"/>
        </w:rPr>
        <w:t>small amount</w:t>
      </w:r>
      <w:r w:rsidR="00B10DEF">
        <w:rPr>
          <w:rFonts w:ascii="Arial" w:hAnsi="Arial" w:cs="Arial"/>
        </w:rPr>
        <w:t>s</w:t>
      </w:r>
      <w:r w:rsidR="00FF799B">
        <w:rPr>
          <w:rFonts w:ascii="Arial" w:hAnsi="Arial" w:cs="Arial"/>
        </w:rPr>
        <w:t xml:space="preserve"> of direct financing</w:t>
      </w:r>
      <w:r w:rsidR="00B10DEF">
        <w:rPr>
          <w:rFonts w:ascii="Arial" w:hAnsi="Arial" w:cs="Arial"/>
        </w:rPr>
        <w:t xml:space="preserve"> to attract third party </w:t>
      </w:r>
      <w:r w:rsidR="00FF799B">
        <w:rPr>
          <w:rFonts w:ascii="Arial" w:hAnsi="Arial" w:cs="Arial"/>
        </w:rPr>
        <w:t>financing for microgrid projects, particularly for the following technologies:</w:t>
      </w:r>
    </w:p>
    <w:p w:rsidR="00FF799B" w:rsidRPr="002A3749" w:rsidRDefault="00FF799B" w:rsidP="007662C3">
      <w:pPr>
        <w:spacing w:after="0"/>
        <w:rPr>
          <w:rFonts w:ascii="Arial" w:hAnsi="Arial" w:cs="Arial"/>
          <w:sz w:val="24"/>
          <w:szCs w:val="24"/>
        </w:rPr>
      </w:pPr>
    </w:p>
    <w:p w:rsidR="00FF799B" w:rsidRDefault="00FF799B" w:rsidP="00FF799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Anaerobic Digestion</w:t>
      </w:r>
    </w:p>
    <w:p w:rsidR="00FF799B" w:rsidRDefault="00FF799B" w:rsidP="00FF799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Combined Heat and Power</w:t>
      </w:r>
    </w:p>
    <w:p w:rsidR="00FF799B" w:rsidRDefault="00FF799B" w:rsidP="00FF799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Solar PV</w:t>
      </w:r>
    </w:p>
    <w:p w:rsidR="00FF799B" w:rsidRDefault="00FF799B" w:rsidP="00FF799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Fuel Cells</w:t>
      </w:r>
    </w:p>
    <w:p w:rsidR="00FF799B" w:rsidRDefault="00FF799B" w:rsidP="00FF799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Storage and Microgrid Controls</w:t>
      </w:r>
    </w:p>
    <w:p w:rsidR="00FF799B" w:rsidRDefault="00FF799B" w:rsidP="00FF799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Energy Efficiency Improvements</w:t>
      </w:r>
    </w:p>
    <w:p w:rsidR="002A3749" w:rsidRPr="002A3749" w:rsidRDefault="002A3749" w:rsidP="00FF799B">
      <w:pPr>
        <w:spacing w:after="0"/>
        <w:rPr>
          <w:rFonts w:ascii="Arial" w:hAnsi="Arial" w:cs="Arial"/>
          <w:sz w:val="24"/>
          <w:szCs w:val="24"/>
        </w:rPr>
      </w:pPr>
    </w:p>
    <w:p w:rsidR="00FF799B" w:rsidRDefault="00FF799B" w:rsidP="00FF799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 addition to CEFIA </w:t>
      </w:r>
      <w:r w:rsidR="007E35B9">
        <w:rPr>
          <w:rFonts w:ascii="Arial" w:hAnsi="Arial" w:cs="Arial"/>
        </w:rPr>
        <w:t xml:space="preserve">financing, </w:t>
      </w:r>
      <w:r>
        <w:rPr>
          <w:rFonts w:ascii="Arial" w:hAnsi="Arial" w:cs="Arial"/>
        </w:rPr>
        <w:t>there are key components of project revenue available through state and federal programs:</w:t>
      </w:r>
    </w:p>
    <w:p w:rsidR="00FF799B" w:rsidRPr="002A3749" w:rsidRDefault="00FF799B" w:rsidP="00FF799B">
      <w:pPr>
        <w:spacing w:after="0"/>
        <w:rPr>
          <w:rFonts w:ascii="Arial" w:hAnsi="Arial" w:cs="Arial"/>
          <w:sz w:val="24"/>
          <w:szCs w:val="24"/>
        </w:rPr>
      </w:pPr>
    </w:p>
    <w:p w:rsidR="00FF799B" w:rsidRPr="00B05196" w:rsidRDefault="00FF799B" w:rsidP="00FF799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</w:rPr>
      </w:pPr>
      <w:r w:rsidRPr="00B05196">
        <w:rPr>
          <w:rFonts w:ascii="Arial" w:hAnsi="Arial" w:cs="Arial"/>
          <w:b/>
        </w:rPr>
        <w:t>Power Purchase Agreements or Energy Services Agreements</w:t>
      </w:r>
    </w:p>
    <w:p w:rsidR="00B05196" w:rsidRDefault="002A3749" w:rsidP="00B05196">
      <w:pPr>
        <w:pStyle w:val="ListParagraph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Third party covers the cost of installing the energy improvements and charges the customer site a preferential rate for their electricity</w:t>
      </w:r>
    </w:p>
    <w:p w:rsidR="00FF799B" w:rsidRPr="00B05196" w:rsidRDefault="00FF799B" w:rsidP="00FF799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</w:rPr>
      </w:pPr>
      <w:r w:rsidRPr="00B05196">
        <w:rPr>
          <w:rFonts w:ascii="Arial" w:hAnsi="Arial" w:cs="Arial"/>
          <w:b/>
        </w:rPr>
        <w:t>Net Metering</w:t>
      </w:r>
    </w:p>
    <w:p w:rsidR="00B05196" w:rsidRPr="00B05196" w:rsidRDefault="002A3749" w:rsidP="00B05196">
      <w:pPr>
        <w:pStyle w:val="ListParagraph"/>
        <w:tabs>
          <w:tab w:val="left" w:pos="217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 can reduce amount of energy purchased from an energy supplier and provide a value for the excess energy (exported energy to the Grid) produced by their generator</w:t>
      </w:r>
    </w:p>
    <w:p w:rsidR="00FF799B" w:rsidRPr="00B05196" w:rsidRDefault="00FF799B" w:rsidP="00FF799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</w:rPr>
      </w:pPr>
      <w:r w:rsidRPr="00B05196">
        <w:rPr>
          <w:rFonts w:ascii="Arial" w:hAnsi="Arial" w:cs="Arial"/>
          <w:b/>
        </w:rPr>
        <w:t>Virtual Net Metering</w:t>
      </w:r>
    </w:p>
    <w:p w:rsidR="00B05196" w:rsidRPr="00B05196" w:rsidRDefault="00B05196" w:rsidP="00B05196">
      <w:pPr>
        <w:pStyle w:val="ListParagraph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currently being finalized by the Connecticut Public Utilities Regulatory Authority</w:t>
      </w:r>
    </w:p>
    <w:p w:rsidR="00E47197" w:rsidRPr="00B05196" w:rsidRDefault="00E47197" w:rsidP="00E4719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</w:rPr>
      </w:pPr>
      <w:r w:rsidRPr="00B05196">
        <w:rPr>
          <w:rFonts w:ascii="Arial" w:hAnsi="Arial" w:cs="Arial"/>
          <w:b/>
        </w:rPr>
        <w:t>Renewable Energy Credits (LREC/ZREC; NEPOOL)</w:t>
      </w:r>
    </w:p>
    <w:p w:rsidR="00B05196" w:rsidRDefault="00B05196" w:rsidP="00B05196">
      <w:pPr>
        <w:pStyle w:val="ListParagraph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Market driven bidding process for projects to compete to obtain a 15-year revenue stream from the sale of RECs to the electric utilities.  Year 3 LREC/ZREC RFP to be released in April 2014.</w:t>
      </w:r>
    </w:p>
    <w:p w:rsidR="00E47197" w:rsidRPr="00B05196" w:rsidRDefault="00E47197" w:rsidP="00E4719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</w:rPr>
      </w:pPr>
      <w:r w:rsidRPr="00B05196">
        <w:rPr>
          <w:rFonts w:ascii="Arial" w:hAnsi="Arial" w:cs="Arial"/>
          <w:b/>
        </w:rPr>
        <w:t>Tax Incentives (Federal Investment Tax Credit; Modified Accelerated Cost-Recovery System)</w:t>
      </w:r>
    </w:p>
    <w:p w:rsidR="00B05196" w:rsidRPr="00B05196" w:rsidRDefault="002A3749" w:rsidP="00B05196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ITC allows customer to offset their taxes by taking a 30% credit of the build expenditures for clean energy measures; MACRS allows owners of renewable equipment to take accelerated depreciation discounts</w:t>
      </w:r>
    </w:p>
    <w:p w:rsidR="00AE7EC0" w:rsidRDefault="00AE7EC0" w:rsidP="00E47197">
      <w:pPr>
        <w:spacing w:after="0"/>
        <w:rPr>
          <w:rFonts w:ascii="Arial" w:hAnsi="Arial" w:cs="Arial"/>
          <w:sz w:val="24"/>
          <w:szCs w:val="24"/>
        </w:rPr>
      </w:pPr>
    </w:p>
    <w:p w:rsidR="00812D79" w:rsidRPr="002A3749" w:rsidRDefault="00812D79" w:rsidP="00E47197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47197" w:rsidRDefault="00E47197" w:rsidP="00E471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For detailed information on the </w:t>
      </w:r>
      <w:r w:rsidRPr="00E47197">
        <w:rPr>
          <w:rFonts w:ascii="Arial" w:hAnsi="Arial" w:cs="Arial"/>
          <w:u w:val="single"/>
        </w:rPr>
        <w:t>financing</w:t>
      </w:r>
      <w:r>
        <w:rPr>
          <w:rFonts w:ascii="Arial" w:hAnsi="Arial" w:cs="Arial"/>
        </w:rPr>
        <w:t xml:space="preserve"> options available </w:t>
      </w:r>
      <w:r w:rsidR="00B10DEF">
        <w:rPr>
          <w:rFonts w:ascii="Arial" w:hAnsi="Arial" w:cs="Arial"/>
        </w:rPr>
        <w:t xml:space="preserve">through CEFIA </w:t>
      </w:r>
      <w:r>
        <w:rPr>
          <w:rFonts w:ascii="Arial" w:hAnsi="Arial" w:cs="Arial"/>
        </w:rPr>
        <w:t xml:space="preserve">for your microgrid project, please visit:  </w:t>
      </w:r>
      <w:hyperlink r:id="rId8" w:history="1">
        <w:r w:rsidRPr="00537F22">
          <w:rPr>
            <w:rStyle w:val="Hyperlink"/>
            <w:rFonts w:ascii="Arial" w:hAnsi="Arial" w:cs="Arial"/>
          </w:rPr>
          <w:t>www.energizect.com/microgrids</w:t>
        </w:r>
      </w:hyperlink>
    </w:p>
    <w:p w:rsidR="00E47197" w:rsidRPr="007E35B9" w:rsidRDefault="00E47197" w:rsidP="00E47197">
      <w:pPr>
        <w:spacing w:after="0"/>
        <w:rPr>
          <w:rFonts w:ascii="Arial" w:hAnsi="Arial" w:cs="Arial"/>
          <w:sz w:val="16"/>
          <w:szCs w:val="16"/>
        </w:rPr>
      </w:pPr>
    </w:p>
    <w:p w:rsidR="00E47197" w:rsidRDefault="00E47197" w:rsidP="00E471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For general Connecticut Microgrid Program information, including the Round 2 Request for Proposals, please visit:  </w:t>
      </w:r>
      <w:hyperlink r:id="rId9" w:history="1">
        <w:r w:rsidRPr="00537F22">
          <w:rPr>
            <w:rStyle w:val="Hyperlink"/>
            <w:rFonts w:ascii="Arial" w:hAnsi="Arial" w:cs="Arial"/>
          </w:rPr>
          <w:t>http://www.ct.gov/deep/cwp/view.asp?a=4120&amp;Q=508780</w:t>
        </w:r>
      </w:hyperlink>
    </w:p>
    <w:sectPr w:rsidR="00E47197" w:rsidSect="00545787">
      <w:headerReference w:type="default" r:id="rId10"/>
      <w:pgSz w:w="12240" w:h="15840"/>
      <w:pgMar w:top="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787" w:rsidRDefault="00545787" w:rsidP="00545787">
      <w:pPr>
        <w:spacing w:after="0" w:line="240" w:lineRule="auto"/>
      </w:pPr>
      <w:r>
        <w:separator/>
      </w:r>
    </w:p>
  </w:endnote>
  <w:endnote w:type="continuationSeparator" w:id="0">
    <w:p w:rsidR="00545787" w:rsidRDefault="00545787" w:rsidP="0054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787" w:rsidRDefault="00545787" w:rsidP="00545787">
      <w:pPr>
        <w:spacing w:after="0" w:line="240" w:lineRule="auto"/>
      </w:pPr>
      <w:r>
        <w:separator/>
      </w:r>
    </w:p>
  </w:footnote>
  <w:footnote w:type="continuationSeparator" w:id="0">
    <w:p w:rsidR="00545787" w:rsidRDefault="00545787" w:rsidP="00545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787" w:rsidRDefault="00545787" w:rsidP="00545787">
    <w:pPr>
      <w:pStyle w:val="Header"/>
      <w:tabs>
        <w:tab w:val="left" w:pos="3690"/>
        <w:tab w:val="left" w:pos="3780"/>
      </w:tabs>
      <w:ind w:left="-720"/>
    </w:pPr>
    <w:r>
      <w:rPr>
        <w:noProof/>
      </w:rPr>
      <w:drawing>
        <wp:inline distT="0" distB="0" distL="0" distR="0" wp14:anchorId="378D9DAA" wp14:editId="4EE65DCC">
          <wp:extent cx="2858770" cy="511810"/>
          <wp:effectExtent l="0" t="0" r="0" b="2540"/>
          <wp:docPr id="1" name="Picture 1" descr="G:\Logos\CEFIA Logos\CEFIA-Logo-3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ogos\CEFIA Logos\CEFIA-Logo-30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877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  <w:t xml:space="preserve">  </w:t>
    </w:r>
    <w:r>
      <w:rPr>
        <w:noProof/>
      </w:rPr>
      <w:tab/>
      <w:t xml:space="preserve">  </w:t>
    </w:r>
    <w:r>
      <w:rPr>
        <w:noProof/>
      </w:rPr>
      <w:drawing>
        <wp:inline distT="0" distB="0" distL="0" distR="0" wp14:anchorId="76A9292F" wp14:editId="529DD441">
          <wp:extent cx="1960297" cy="877573"/>
          <wp:effectExtent l="0" t="0" r="1905" b="0"/>
          <wp:docPr id="3" name="Picture 3" descr="G:\Logos\CCEF Partners Logos\DEEP\DEEPLogoRectangleCOLORRGBmedi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Logos\CCEF Partners Logos\DEEP\DEEPLogoRectangleCOLORRGBmediu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97" cy="877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5787" w:rsidRDefault="005457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BA7"/>
    <w:multiLevelType w:val="hybridMultilevel"/>
    <w:tmpl w:val="484AC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807AE"/>
    <w:multiLevelType w:val="hybridMultilevel"/>
    <w:tmpl w:val="A9A6C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74064"/>
    <w:multiLevelType w:val="hybridMultilevel"/>
    <w:tmpl w:val="ED9AB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24BC8"/>
    <w:multiLevelType w:val="hybridMultilevel"/>
    <w:tmpl w:val="F45E6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87"/>
    <w:rsid w:val="001E4A8D"/>
    <w:rsid w:val="001F4E01"/>
    <w:rsid w:val="00277A30"/>
    <w:rsid w:val="002A3749"/>
    <w:rsid w:val="002F2567"/>
    <w:rsid w:val="003A7A9E"/>
    <w:rsid w:val="004513C0"/>
    <w:rsid w:val="004B20F7"/>
    <w:rsid w:val="005401EA"/>
    <w:rsid w:val="00545787"/>
    <w:rsid w:val="007662C3"/>
    <w:rsid w:val="007E35B9"/>
    <w:rsid w:val="00812D79"/>
    <w:rsid w:val="008B002F"/>
    <w:rsid w:val="009A5679"/>
    <w:rsid w:val="00A03C80"/>
    <w:rsid w:val="00A36BFC"/>
    <w:rsid w:val="00AD4F8A"/>
    <w:rsid w:val="00AE7EC0"/>
    <w:rsid w:val="00B05196"/>
    <w:rsid w:val="00B10DEF"/>
    <w:rsid w:val="00B34E5D"/>
    <w:rsid w:val="00CF6961"/>
    <w:rsid w:val="00DF130E"/>
    <w:rsid w:val="00E47197"/>
    <w:rsid w:val="00EF278D"/>
    <w:rsid w:val="00FB7DD7"/>
    <w:rsid w:val="00FD0423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Heading1">
    <w:name w:val="Cas Heading 1"/>
    <w:basedOn w:val="Normal"/>
    <w:autoRedefine/>
    <w:rsid w:val="001E4A8D"/>
    <w:pPr>
      <w:widowControl w:val="0"/>
      <w:shd w:val="clear" w:color="FFFFFF" w:fill="000000"/>
      <w:spacing w:after="0" w:line="240" w:lineRule="auto"/>
    </w:pPr>
    <w:rPr>
      <w:rFonts w:ascii="Arial" w:eastAsia="Times New Roman" w:hAnsi="Arial" w:cs="Arial"/>
      <w:b/>
      <w:smallCaps/>
      <w:snapToGrid w:val="0"/>
      <w:sz w:val="32"/>
      <w:szCs w:val="32"/>
    </w:rPr>
  </w:style>
  <w:style w:type="paragraph" w:customStyle="1" w:styleId="CasHeading2">
    <w:name w:val="Cas Heading 2"/>
    <w:basedOn w:val="Normal"/>
    <w:autoRedefine/>
    <w:rsid w:val="001E4A8D"/>
    <w:pPr>
      <w:widowControl w:val="0"/>
      <w:tabs>
        <w:tab w:val="left" w:pos="2880"/>
      </w:tabs>
      <w:spacing w:after="0" w:line="240" w:lineRule="auto"/>
    </w:pPr>
    <w:rPr>
      <w:rFonts w:ascii="Arial" w:eastAsia="Times New Roman" w:hAnsi="Arial" w:cs="Arial"/>
      <w:b/>
      <w:bCs/>
      <w:smallCaps/>
      <w:snapToGrid w:val="0"/>
      <w:szCs w:val="24"/>
      <w:u w:val="single"/>
    </w:rPr>
  </w:style>
  <w:style w:type="paragraph" w:customStyle="1" w:styleId="CasHeading3">
    <w:name w:val="Cas Heading 3"/>
    <w:basedOn w:val="Normal"/>
    <w:rsid w:val="001E4A8D"/>
    <w:pPr>
      <w:widowControl w:val="0"/>
      <w:spacing w:after="0" w:line="240" w:lineRule="auto"/>
    </w:pPr>
    <w:rPr>
      <w:rFonts w:ascii="Univers" w:eastAsia="Times New Roman" w:hAnsi="Univers" w:cs="Times New Roman"/>
      <w:b/>
      <w:snapToGrid w:val="0"/>
      <w:sz w:val="20"/>
      <w:szCs w:val="20"/>
      <w:u w:val="single"/>
    </w:rPr>
  </w:style>
  <w:style w:type="paragraph" w:customStyle="1" w:styleId="CasSectionStyle">
    <w:name w:val="Cas Section Style"/>
    <w:basedOn w:val="Normal"/>
    <w:autoRedefine/>
    <w:rsid w:val="001E4A8D"/>
    <w:pPr>
      <w:widowControl w:val="0"/>
      <w:shd w:val="clear" w:color="FFFFFF" w:fill="000000"/>
      <w:spacing w:after="0" w:line="240" w:lineRule="auto"/>
      <w:jc w:val="center"/>
    </w:pPr>
    <w:rPr>
      <w:rFonts w:ascii="Arial" w:eastAsia="Times New Roman" w:hAnsi="Arial" w:cs="Arial"/>
      <w:b/>
      <w:snapToGrid w:val="0"/>
      <w:sz w:val="32"/>
      <w:szCs w:val="20"/>
    </w:rPr>
  </w:style>
  <w:style w:type="paragraph" w:customStyle="1" w:styleId="CasSeeAttachment">
    <w:name w:val="Cas See Attachment"/>
    <w:basedOn w:val="BodyTextIndent"/>
    <w:rsid w:val="001E4A8D"/>
    <w:pPr>
      <w:widowControl w:val="0"/>
      <w:spacing w:before="120" w:line="280" w:lineRule="exact"/>
      <w:ind w:left="1080"/>
    </w:pPr>
    <w:rPr>
      <w:rFonts w:ascii="Univers" w:eastAsia="Times New Roman" w:hAnsi="Univers" w:cs="Times New Roman"/>
      <w:b/>
      <w:i/>
      <w:snapToGrid w:val="0"/>
      <w:spacing w:val="-20"/>
      <w:sz w:val="18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E4A8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E4A8D"/>
  </w:style>
  <w:style w:type="paragraph" w:styleId="Header">
    <w:name w:val="header"/>
    <w:basedOn w:val="Normal"/>
    <w:link w:val="HeaderChar"/>
    <w:uiPriority w:val="99"/>
    <w:unhideWhenUsed/>
    <w:rsid w:val="00545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787"/>
  </w:style>
  <w:style w:type="paragraph" w:styleId="Footer">
    <w:name w:val="footer"/>
    <w:basedOn w:val="Normal"/>
    <w:link w:val="FooterChar"/>
    <w:uiPriority w:val="99"/>
    <w:unhideWhenUsed/>
    <w:rsid w:val="00545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787"/>
  </w:style>
  <w:style w:type="paragraph" w:styleId="BalloonText">
    <w:name w:val="Balloon Text"/>
    <w:basedOn w:val="Normal"/>
    <w:link w:val="BalloonTextChar"/>
    <w:uiPriority w:val="99"/>
    <w:semiHidden/>
    <w:unhideWhenUsed/>
    <w:rsid w:val="00545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7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4E01"/>
    <w:pPr>
      <w:ind w:left="720"/>
      <w:contextualSpacing/>
    </w:pPr>
  </w:style>
  <w:style w:type="paragraph" w:customStyle="1" w:styleId="Default">
    <w:name w:val="Default"/>
    <w:rsid w:val="007662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71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696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3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5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5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5B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Heading1">
    <w:name w:val="Cas Heading 1"/>
    <w:basedOn w:val="Normal"/>
    <w:autoRedefine/>
    <w:rsid w:val="001E4A8D"/>
    <w:pPr>
      <w:widowControl w:val="0"/>
      <w:shd w:val="clear" w:color="FFFFFF" w:fill="000000"/>
      <w:spacing w:after="0" w:line="240" w:lineRule="auto"/>
    </w:pPr>
    <w:rPr>
      <w:rFonts w:ascii="Arial" w:eastAsia="Times New Roman" w:hAnsi="Arial" w:cs="Arial"/>
      <w:b/>
      <w:smallCaps/>
      <w:snapToGrid w:val="0"/>
      <w:sz w:val="32"/>
      <w:szCs w:val="32"/>
    </w:rPr>
  </w:style>
  <w:style w:type="paragraph" w:customStyle="1" w:styleId="CasHeading2">
    <w:name w:val="Cas Heading 2"/>
    <w:basedOn w:val="Normal"/>
    <w:autoRedefine/>
    <w:rsid w:val="001E4A8D"/>
    <w:pPr>
      <w:widowControl w:val="0"/>
      <w:tabs>
        <w:tab w:val="left" w:pos="2880"/>
      </w:tabs>
      <w:spacing w:after="0" w:line="240" w:lineRule="auto"/>
    </w:pPr>
    <w:rPr>
      <w:rFonts w:ascii="Arial" w:eastAsia="Times New Roman" w:hAnsi="Arial" w:cs="Arial"/>
      <w:b/>
      <w:bCs/>
      <w:smallCaps/>
      <w:snapToGrid w:val="0"/>
      <w:szCs w:val="24"/>
      <w:u w:val="single"/>
    </w:rPr>
  </w:style>
  <w:style w:type="paragraph" w:customStyle="1" w:styleId="CasHeading3">
    <w:name w:val="Cas Heading 3"/>
    <w:basedOn w:val="Normal"/>
    <w:rsid w:val="001E4A8D"/>
    <w:pPr>
      <w:widowControl w:val="0"/>
      <w:spacing w:after="0" w:line="240" w:lineRule="auto"/>
    </w:pPr>
    <w:rPr>
      <w:rFonts w:ascii="Univers" w:eastAsia="Times New Roman" w:hAnsi="Univers" w:cs="Times New Roman"/>
      <w:b/>
      <w:snapToGrid w:val="0"/>
      <w:sz w:val="20"/>
      <w:szCs w:val="20"/>
      <w:u w:val="single"/>
    </w:rPr>
  </w:style>
  <w:style w:type="paragraph" w:customStyle="1" w:styleId="CasSectionStyle">
    <w:name w:val="Cas Section Style"/>
    <w:basedOn w:val="Normal"/>
    <w:autoRedefine/>
    <w:rsid w:val="001E4A8D"/>
    <w:pPr>
      <w:widowControl w:val="0"/>
      <w:shd w:val="clear" w:color="FFFFFF" w:fill="000000"/>
      <w:spacing w:after="0" w:line="240" w:lineRule="auto"/>
      <w:jc w:val="center"/>
    </w:pPr>
    <w:rPr>
      <w:rFonts w:ascii="Arial" w:eastAsia="Times New Roman" w:hAnsi="Arial" w:cs="Arial"/>
      <w:b/>
      <w:snapToGrid w:val="0"/>
      <w:sz w:val="32"/>
      <w:szCs w:val="20"/>
    </w:rPr>
  </w:style>
  <w:style w:type="paragraph" w:customStyle="1" w:styleId="CasSeeAttachment">
    <w:name w:val="Cas See Attachment"/>
    <w:basedOn w:val="BodyTextIndent"/>
    <w:rsid w:val="001E4A8D"/>
    <w:pPr>
      <w:widowControl w:val="0"/>
      <w:spacing w:before="120" w:line="280" w:lineRule="exact"/>
      <w:ind w:left="1080"/>
    </w:pPr>
    <w:rPr>
      <w:rFonts w:ascii="Univers" w:eastAsia="Times New Roman" w:hAnsi="Univers" w:cs="Times New Roman"/>
      <w:b/>
      <w:i/>
      <w:snapToGrid w:val="0"/>
      <w:spacing w:val="-20"/>
      <w:sz w:val="18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E4A8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E4A8D"/>
  </w:style>
  <w:style w:type="paragraph" w:styleId="Header">
    <w:name w:val="header"/>
    <w:basedOn w:val="Normal"/>
    <w:link w:val="HeaderChar"/>
    <w:uiPriority w:val="99"/>
    <w:unhideWhenUsed/>
    <w:rsid w:val="00545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787"/>
  </w:style>
  <w:style w:type="paragraph" w:styleId="Footer">
    <w:name w:val="footer"/>
    <w:basedOn w:val="Normal"/>
    <w:link w:val="FooterChar"/>
    <w:uiPriority w:val="99"/>
    <w:unhideWhenUsed/>
    <w:rsid w:val="00545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787"/>
  </w:style>
  <w:style w:type="paragraph" w:styleId="BalloonText">
    <w:name w:val="Balloon Text"/>
    <w:basedOn w:val="Normal"/>
    <w:link w:val="BalloonTextChar"/>
    <w:uiPriority w:val="99"/>
    <w:semiHidden/>
    <w:unhideWhenUsed/>
    <w:rsid w:val="00545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7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4E01"/>
    <w:pPr>
      <w:ind w:left="720"/>
      <w:contextualSpacing/>
    </w:pPr>
  </w:style>
  <w:style w:type="paragraph" w:customStyle="1" w:styleId="Default">
    <w:name w:val="Default"/>
    <w:rsid w:val="007662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71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696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3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5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5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5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izect.com/microgrid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t.gov/deep/cwp/view.asp?a=4120&amp;Q=50878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Connecticut Innovations, Inc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L. Buonannata</dc:creator>
  <cp:lastModifiedBy>Joe L. Buonannata</cp:lastModifiedBy>
  <cp:revision>10</cp:revision>
  <cp:lastPrinted>2014-03-20T12:41:00Z</cp:lastPrinted>
  <dcterms:created xsi:type="dcterms:W3CDTF">2014-03-17T19:00:00Z</dcterms:created>
  <dcterms:modified xsi:type="dcterms:W3CDTF">2014-03-20T12:42:00Z</dcterms:modified>
</cp:coreProperties>
</file>