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A32E5" w14:textId="77777777" w:rsidR="00AE5DDC" w:rsidRDefault="00AE5DDC" w:rsidP="00E970E3"/>
    <w:p w14:paraId="6BAF2D51" w14:textId="77777777" w:rsidR="00AB2596" w:rsidRDefault="00AB2596" w:rsidP="00E970E3"/>
    <w:p w14:paraId="3A6A6A1F" w14:textId="77777777" w:rsidR="00AB2596" w:rsidRDefault="00AB2596" w:rsidP="00E970E3"/>
    <w:p w14:paraId="1F75FE1B" w14:textId="77777777" w:rsidR="00AB2596" w:rsidRPr="000C6A31" w:rsidRDefault="00AB2596" w:rsidP="00AB2596">
      <w:pPr>
        <w:pStyle w:val="DocumentLabel"/>
        <w:spacing w:before="0"/>
        <w:ind w:left="-835"/>
        <w:rPr>
          <w:sz w:val="48"/>
          <w:szCs w:val="48"/>
        </w:rPr>
      </w:pPr>
      <w:r w:rsidRPr="000C6A31">
        <w:rPr>
          <w:sz w:val="48"/>
          <w:szCs w:val="48"/>
        </w:rPr>
        <w:t>Memo</w:t>
      </w:r>
    </w:p>
    <w:p w14:paraId="0CA2194B" w14:textId="7ED2C2FA" w:rsidR="00AB2596" w:rsidRPr="00B24BBA" w:rsidRDefault="00AB2596" w:rsidP="00AB2596">
      <w:pPr>
        <w:pStyle w:val="MessageHeaderFirst"/>
        <w:rPr>
          <w:rFonts w:cs="Arial"/>
          <w:sz w:val="22"/>
          <w:szCs w:val="22"/>
        </w:rPr>
      </w:pPr>
      <w:r w:rsidRPr="00B24BBA">
        <w:rPr>
          <w:rStyle w:val="MessageHeaderLabel"/>
          <w:rFonts w:cs="Arial"/>
          <w:b/>
          <w:spacing w:val="-25"/>
          <w:sz w:val="22"/>
          <w:szCs w:val="22"/>
        </w:rPr>
        <w:t>T</w:t>
      </w:r>
      <w:r w:rsidRPr="00B24BBA">
        <w:rPr>
          <w:rStyle w:val="MessageHeaderLabel"/>
          <w:rFonts w:cs="Arial"/>
          <w:b/>
          <w:sz w:val="22"/>
          <w:szCs w:val="22"/>
        </w:rPr>
        <w:t>o:</w:t>
      </w:r>
      <w:r w:rsidRPr="00B24BBA">
        <w:rPr>
          <w:rFonts w:cs="Arial"/>
          <w:sz w:val="22"/>
          <w:szCs w:val="22"/>
        </w:rPr>
        <w:tab/>
      </w:r>
      <w:r w:rsidR="00ED58E4">
        <w:rPr>
          <w:rFonts w:cs="Arial"/>
          <w:sz w:val="22"/>
          <w:szCs w:val="22"/>
        </w:rPr>
        <w:t>Joint Committee</w:t>
      </w:r>
      <w:r w:rsidR="00191B41">
        <w:rPr>
          <w:rFonts w:cs="Arial"/>
          <w:sz w:val="22"/>
          <w:szCs w:val="22"/>
        </w:rPr>
        <w:t xml:space="preserve"> of the Energy Efficiency Board and the Connecticut Green Bank</w:t>
      </w:r>
    </w:p>
    <w:p w14:paraId="41B110A9" w14:textId="314D376D" w:rsidR="00AB2596" w:rsidRPr="00B24BBA" w:rsidRDefault="00AB2596" w:rsidP="00AB2596">
      <w:pPr>
        <w:pStyle w:val="MessageHeader"/>
        <w:rPr>
          <w:rFonts w:cs="Arial"/>
          <w:sz w:val="22"/>
          <w:szCs w:val="22"/>
        </w:rPr>
      </w:pPr>
      <w:r w:rsidRPr="00B24BBA">
        <w:rPr>
          <w:rStyle w:val="MessageHeaderLabel"/>
          <w:rFonts w:cs="Arial"/>
          <w:b/>
          <w:sz w:val="22"/>
          <w:szCs w:val="22"/>
        </w:rPr>
        <w:t>From:</w:t>
      </w:r>
      <w:r w:rsidRPr="00B24BBA">
        <w:rPr>
          <w:rFonts w:cs="Arial"/>
          <w:sz w:val="22"/>
          <w:szCs w:val="22"/>
        </w:rPr>
        <w:tab/>
      </w:r>
      <w:r w:rsidR="007B217E">
        <w:rPr>
          <w:rFonts w:cs="Arial"/>
          <w:sz w:val="22"/>
          <w:szCs w:val="22"/>
        </w:rPr>
        <w:t>Bryan Garcia</w:t>
      </w:r>
      <w:r w:rsidR="00ED58E4">
        <w:rPr>
          <w:rFonts w:cs="Arial"/>
          <w:sz w:val="22"/>
          <w:szCs w:val="22"/>
        </w:rPr>
        <w:t xml:space="preserve"> </w:t>
      </w:r>
    </w:p>
    <w:p w14:paraId="40D908FF" w14:textId="6B4A59BB" w:rsidR="00AB2596" w:rsidRPr="00B24BBA" w:rsidRDefault="00AB2596" w:rsidP="00AB2596">
      <w:pPr>
        <w:pStyle w:val="MessageHeader"/>
        <w:rPr>
          <w:rFonts w:cs="Arial"/>
          <w:sz w:val="22"/>
          <w:szCs w:val="22"/>
        </w:rPr>
      </w:pPr>
      <w:r w:rsidRPr="00B24BBA">
        <w:rPr>
          <w:rStyle w:val="MessageHeaderLabel"/>
          <w:rFonts w:cs="Arial"/>
          <w:b/>
          <w:sz w:val="22"/>
          <w:szCs w:val="22"/>
        </w:rPr>
        <w:t>CC:</w:t>
      </w:r>
      <w:r w:rsidRPr="00B24BBA">
        <w:rPr>
          <w:rFonts w:cs="Arial"/>
          <w:sz w:val="22"/>
          <w:szCs w:val="22"/>
        </w:rPr>
        <w:tab/>
      </w:r>
      <w:r w:rsidR="00191B41">
        <w:rPr>
          <w:rFonts w:cs="Arial"/>
          <w:sz w:val="22"/>
          <w:szCs w:val="22"/>
        </w:rPr>
        <w:t>Isabelle Haz</w:t>
      </w:r>
      <w:r w:rsidR="00F3668A">
        <w:rPr>
          <w:rFonts w:cs="Arial"/>
          <w:sz w:val="22"/>
          <w:szCs w:val="22"/>
        </w:rPr>
        <w:t>le</w:t>
      </w:r>
      <w:r w:rsidR="00191B41">
        <w:rPr>
          <w:rFonts w:cs="Arial"/>
          <w:sz w:val="22"/>
          <w:szCs w:val="22"/>
        </w:rPr>
        <w:t>wood</w:t>
      </w:r>
      <w:r w:rsidR="00C82634">
        <w:rPr>
          <w:rFonts w:cs="Arial"/>
          <w:sz w:val="22"/>
          <w:szCs w:val="22"/>
        </w:rPr>
        <w:t xml:space="preserve">, Emily Rice, </w:t>
      </w:r>
      <w:r w:rsidR="00AB18A7">
        <w:rPr>
          <w:rFonts w:cs="Arial"/>
          <w:sz w:val="22"/>
          <w:szCs w:val="22"/>
        </w:rPr>
        <w:t xml:space="preserve">Steve Bruno, Ron Araujo, Joel </w:t>
      </w:r>
      <w:proofErr w:type="spellStart"/>
      <w:r w:rsidR="00AB18A7">
        <w:rPr>
          <w:rFonts w:cs="Arial"/>
          <w:sz w:val="22"/>
          <w:szCs w:val="22"/>
        </w:rPr>
        <w:t>Kopylec</w:t>
      </w:r>
      <w:proofErr w:type="spellEnd"/>
    </w:p>
    <w:p w14:paraId="613B042A" w14:textId="4CD834F4" w:rsidR="00AB2596" w:rsidRPr="00B24BBA" w:rsidRDefault="00AB2596" w:rsidP="00AB2596">
      <w:pPr>
        <w:pStyle w:val="MessageHeader"/>
        <w:rPr>
          <w:rFonts w:cs="Arial"/>
          <w:sz w:val="22"/>
          <w:szCs w:val="22"/>
        </w:rPr>
      </w:pPr>
      <w:r w:rsidRPr="00B24BBA">
        <w:rPr>
          <w:rStyle w:val="MessageHeaderLabel"/>
          <w:rFonts w:cs="Arial"/>
          <w:b/>
          <w:sz w:val="22"/>
          <w:szCs w:val="22"/>
        </w:rPr>
        <w:t>Date:</w:t>
      </w:r>
      <w:r w:rsidRPr="00B24BBA">
        <w:rPr>
          <w:rFonts w:cs="Arial"/>
          <w:sz w:val="22"/>
          <w:szCs w:val="22"/>
        </w:rPr>
        <w:tab/>
      </w:r>
      <w:r w:rsidR="00191B41">
        <w:rPr>
          <w:rFonts w:cs="Arial"/>
          <w:sz w:val="22"/>
          <w:szCs w:val="22"/>
        </w:rPr>
        <w:t>July 29, 2022</w:t>
      </w:r>
    </w:p>
    <w:p w14:paraId="2553125C" w14:textId="21D5D222" w:rsidR="007B217E" w:rsidRDefault="00AB2596" w:rsidP="007B217E">
      <w:pPr>
        <w:pStyle w:val="MessageHeaderLast"/>
      </w:pPr>
      <w:r w:rsidRPr="00B24BBA">
        <w:rPr>
          <w:rStyle w:val="MessageHeaderLabel"/>
          <w:rFonts w:cs="Arial"/>
          <w:b/>
          <w:sz w:val="22"/>
          <w:szCs w:val="22"/>
        </w:rPr>
        <w:t>Re:</w:t>
      </w:r>
      <w:r w:rsidRPr="00B24BBA">
        <w:rPr>
          <w:rFonts w:cs="Arial"/>
          <w:sz w:val="22"/>
          <w:szCs w:val="22"/>
        </w:rPr>
        <w:tab/>
      </w:r>
      <w:r w:rsidR="00191B41">
        <w:rPr>
          <w:rFonts w:asciiTheme="minorHAnsi" w:hAnsiTheme="minorHAnsi" w:cstheme="minorHAnsi"/>
          <w:sz w:val="22"/>
          <w:szCs w:val="22"/>
        </w:rPr>
        <w:t>Follow-Up from the Joint Committee Meeting of June 29, 2022 – Shared Clean Energy Facilities: Potential Opportunity for Additional Energy Efficiency</w:t>
      </w:r>
    </w:p>
    <w:p w14:paraId="25AD3A9E" w14:textId="110F29E2" w:rsidR="00255254" w:rsidRPr="00255254" w:rsidRDefault="00255254" w:rsidP="00191B41">
      <w:pPr>
        <w:spacing w:after="0" w:line="240" w:lineRule="auto"/>
        <w:rPr>
          <w:rFonts w:eastAsia="Times New Roman" w:cs="Arial"/>
          <w:b/>
          <w:bCs/>
        </w:rPr>
      </w:pPr>
      <w:r w:rsidRPr="00255254">
        <w:rPr>
          <w:rFonts w:eastAsia="Times New Roman" w:cs="Arial"/>
          <w:b/>
          <w:bCs/>
        </w:rPr>
        <w:t>Background</w:t>
      </w:r>
    </w:p>
    <w:p w14:paraId="14A0A831" w14:textId="2C37BDF9" w:rsidR="007B217E" w:rsidRDefault="00B869BD" w:rsidP="00191B41">
      <w:pPr>
        <w:spacing w:after="0" w:line="240" w:lineRule="auto"/>
        <w:rPr>
          <w:rFonts w:eastAsia="Times New Roman" w:cs="Arial"/>
        </w:rPr>
      </w:pPr>
      <w:r>
        <w:rPr>
          <w:rFonts w:eastAsia="Times New Roman" w:cs="Arial"/>
        </w:rPr>
        <w:t>I</w:t>
      </w:r>
      <w:r w:rsidR="00E90969">
        <w:rPr>
          <w:rFonts w:eastAsia="Times New Roman" w:cs="Arial"/>
        </w:rPr>
        <w:t>n its Final Decision in</w:t>
      </w:r>
      <w:r w:rsidR="00191B41">
        <w:rPr>
          <w:rFonts w:eastAsia="Times New Roman" w:cs="Arial"/>
        </w:rPr>
        <w:t xml:space="preserve"> Docket No. </w:t>
      </w:r>
      <w:r w:rsidR="00E90969">
        <w:rPr>
          <w:rFonts w:eastAsia="Times New Roman" w:cs="Arial"/>
        </w:rPr>
        <w:t>19-07-01RE01,</w:t>
      </w:r>
      <w:r w:rsidR="00191B41">
        <w:rPr>
          <w:rFonts w:eastAsia="Times New Roman" w:cs="Arial"/>
        </w:rPr>
        <w:t xml:space="preserve"> on </w:t>
      </w:r>
      <w:r w:rsidR="00E90969">
        <w:rPr>
          <w:rFonts w:eastAsia="Times New Roman" w:cs="Arial"/>
        </w:rPr>
        <w:t>September 15, 2021</w:t>
      </w:r>
      <w:r w:rsidR="00191B41">
        <w:rPr>
          <w:rFonts w:eastAsia="Times New Roman" w:cs="Arial"/>
        </w:rPr>
        <w:t xml:space="preserve"> the Public Utilities Regulatory Authority (“PURA”) </w:t>
      </w:r>
      <w:r w:rsidR="00E90969">
        <w:rPr>
          <w:rFonts w:eastAsia="Times New Roman" w:cs="Arial"/>
        </w:rPr>
        <w:t xml:space="preserve">provided </w:t>
      </w:r>
      <w:r w:rsidR="00191B41">
        <w:rPr>
          <w:rFonts w:eastAsia="Times New Roman" w:cs="Arial"/>
        </w:rPr>
        <w:t>the following</w:t>
      </w:r>
      <w:r w:rsidR="00E90969">
        <w:rPr>
          <w:rFonts w:eastAsia="Times New Roman" w:cs="Arial"/>
        </w:rPr>
        <w:t xml:space="preserve"> direction</w:t>
      </w:r>
      <w:r w:rsidR="00191B41">
        <w:rPr>
          <w:rFonts w:eastAsia="Times New Roman" w:cs="Arial"/>
        </w:rPr>
        <w:t>:</w:t>
      </w:r>
    </w:p>
    <w:p w14:paraId="073024C6" w14:textId="5627BD11" w:rsidR="00191B41" w:rsidRPr="00191B41" w:rsidRDefault="00191B41" w:rsidP="00191B41">
      <w:pPr>
        <w:spacing w:after="0" w:line="240" w:lineRule="auto"/>
        <w:rPr>
          <w:rFonts w:eastAsia="Times New Roman" w:cs="Arial"/>
        </w:rPr>
      </w:pPr>
    </w:p>
    <w:p w14:paraId="4D8D1456" w14:textId="70382576" w:rsidR="00191B41" w:rsidRDefault="00191B41" w:rsidP="00191B41">
      <w:pPr>
        <w:spacing w:after="0" w:line="240" w:lineRule="auto"/>
        <w:ind w:left="810" w:right="792" w:hanging="90"/>
        <w:rPr>
          <w:i/>
          <w:iCs/>
        </w:rPr>
      </w:pPr>
      <w:r w:rsidRPr="00191B41">
        <w:rPr>
          <w:i/>
          <w:iCs/>
        </w:rPr>
        <w:t>While PURA is not authorizing implementation of the CGB Proposal at this time, the Authority is interested in engaging stakeholders in future SCEF proceedings to contemplate potential programmatic modifications in line with the CGB Proposal and consider the implications and overlap with other EDC-administered programs (e.g., the Conservation and Load Management Plan, the Residential Tariff Program established in Docket No. 20-07-01, the Electric Storage Program established in Docket No. 17-12-03RE03, PURA Investigation into Distribution System Planning of the Electric Distribution Companies –Electric Storage, etc.). Accordingly, the Authority encourages the CGB to work with the EDCs, DEEP, and OCC to incorporate any redline edits that would enable the CGB’s modifications to be implemented in a timely fashion, submitting the proposed edits in the appropriate SCEF proceeding.</w:t>
      </w:r>
      <w:r>
        <w:rPr>
          <w:rStyle w:val="FootnoteReference"/>
          <w:rFonts w:eastAsia="Times New Roman" w:cs="Arial"/>
          <w:i/>
          <w:iCs/>
        </w:rPr>
        <w:footnoteReference w:id="1"/>
      </w:r>
    </w:p>
    <w:p w14:paraId="35020FD0" w14:textId="2B25606D" w:rsidR="00191B41" w:rsidRDefault="00191B41" w:rsidP="00191B41">
      <w:pPr>
        <w:spacing w:after="0" w:line="240" w:lineRule="auto"/>
        <w:ind w:left="810" w:right="792" w:hanging="90"/>
        <w:rPr>
          <w:rFonts w:eastAsia="Times New Roman" w:cs="Arial"/>
        </w:rPr>
      </w:pPr>
    </w:p>
    <w:p w14:paraId="53F10279" w14:textId="66876E6F" w:rsidR="00191B41" w:rsidRDefault="00191B41" w:rsidP="00191B41">
      <w:pPr>
        <w:spacing w:after="0" w:line="240" w:lineRule="auto"/>
        <w:ind w:right="792"/>
        <w:rPr>
          <w:rFonts w:eastAsia="Times New Roman" w:cs="Arial"/>
        </w:rPr>
      </w:pPr>
      <w:r>
        <w:rPr>
          <w:rFonts w:eastAsia="Times New Roman" w:cs="Arial"/>
        </w:rPr>
        <w:t>As a follow-up to the request, the Connecticut Green Bank (“Green Bank”) pursued the following:</w:t>
      </w:r>
    </w:p>
    <w:p w14:paraId="74A47B4D" w14:textId="651B3726" w:rsidR="00191B41" w:rsidRDefault="00191B41" w:rsidP="00191B41">
      <w:pPr>
        <w:spacing w:after="0" w:line="240" w:lineRule="auto"/>
        <w:ind w:right="792"/>
        <w:rPr>
          <w:rFonts w:eastAsia="Times New Roman" w:cs="Arial"/>
        </w:rPr>
      </w:pPr>
    </w:p>
    <w:p w14:paraId="601FA882" w14:textId="6156E7C6" w:rsidR="00191B41" w:rsidRDefault="00191B41" w:rsidP="00191B41">
      <w:pPr>
        <w:pStyle w:val="ListParagraph"/>
        <w:numPr>
          <w:ilvl w:val="0"/>
          <w:numId w:val="1"/>
        </w:numPr>
        <w:spacing w:after="0" w:line="240" w:lineRule="auto"/>
        <w:ind w:right="792"/>
        <w:rPr>
          <w:rFonts w:eastAsia="Times New Roman" w:cs="Arial"/>
        </w:rPr>
      </w:pPr>
      <w:r>
        <w:rPr>
          <w:rFonts w:eastAsia="Times New Roman" w:cs="Arial"/>
          <w:b/>
          <w:bCs/>
          <w:u w:val="single"/>
        </w:rPr>
        <w:t>Meeting with DEEP and OCC</w:t>
      </w:r>
      <w:r>
        <w:rPr>
          <w:rFonts w:eastAsia="Times New Roman" w:cs="Arial"/>
        </w:rPr>
        <w:t xml:space="preserve"> – on Friday, June 17, 2022, the Green Bank</w:t>
      </w:r>
      <w:r w:rsidR="00D23679">
        <w:rPr>
          <w:rFonts w:eastAsia="Times New Roman" w:cs="Arial"/>
        </w:rPr>
        <w:t>, in co</w:t>
      </w:r>
      <w:r w:rsidR="00C82634">
        <w:rPr>
          <w:rFonts w:eastAsia="Times New Roman" w:cs="Arial"/>
        </w:rPr>
        <w:t>ordination</w:t>
      </w:r>
      <w:r w:rsidR="00D23679">
        <w:rPr>
          <w:rFonts w:eastAsia="Times New Roman" w:cs="Arial"/>
        </w:rPr>
        <w:t xml:space="preserve"> with Eversource Energy</w:t>
      </w:r>
      <w:r w:rsidR="0089396B">
        <w:rPr>
          <w:rFonts w:eastAsia="Times New Roman" w:cs="Arial"/>
        </w:rPr>
        <w:t xml:space="preserve"> (“Eversource”)</w:t>
      </w:r>
      <w:r w:rsidR="00D23679">
        <w:rPr>
          <w:rFonts w:eastAsia="Times New Roman" w:cs="Arial"/>
        </w:rPr>
        <w:t>,</w:t>
      </w:r>
      <w:r>
        <w:rPr>
          <w:rFonts w:eastAsia="Times New Roman" w:cs="Arial"/>
        </w:rPr>
        <w:t xml:space="preserve"> held an online meeting with the Department of Energy and Environmental Protection (“DEEP”)</w:t>
      </w:r>
      <w:r w:rsidR="00D23679">
        <w:rPr>
          <w:rFonts w:eastAsia="Times New Roman" w:cs="Arial"/>
        </w:rPr>
        <w:t xml:space="preserve"> and the</w:t>
      </w:r>
      <w:r>
        <w:rPr>
          <w:rFonts w:eastAsia="Times New Roman" w:cs="Arial"/>
        </w:rPr>
        <w:t xml:space="preserve"> Office of Consumer Counsel (“OCC) to discuss the PURA </w:t>
      </w:r>
      <w:r w:rsidR="00D23679">
        <w:rPr>
          <w:rFonts w:eastAsia="Times New Roman" w:cs="Arial"/>
        </w:rPr>
        <w:t xml:space="preserve">suggestion. </w:t>
      </w:r>
      <w:r w:rsidR="003B2EE5">
        <w:rPr>
          <w:rFonts w:eastAsia="Times New Roman" w:cs="Arial"/>
        </w:rPr>
        <w:t>UI</w:t>
      </w:r>
      <w:r w:rsidR="002A1331">
        <w:rPr>
          <w:rFonts w:eastAsia="Times New Roman" w:cs="Arial"/>
        </w:rPr>
        <w:t xml:space="preserve"> was unavailable to attend this meeting.</w:t>
      </w:r>
      <w:r w:rsidR="00D23679">
        <w:rPr>
          <w:rFonts w:eastAsia="Times New Roman" w:cs="Arial"/>
        </w:rPr>
        <w:t xml:space="preserve"> The Green Bank provided an overview of </w:t>
      </w:r>
      <w:r w:rsidR="00AB18A7">
        <w:rPr>
          <w:rFonts w:eastAsia="Times New Roman" w:cs="Arial"/>
        </w:rPr>
        <w:t>the proposal</w:t>
      </w:r>
      <w:r w:rsidR="00D23679">
        <w:rPr>
          <w:rFonts w:eastAsia="Times New Roman" w:cs="Arial"/>
        </w:rPr>
        <w:t xml:space="preserve"> that would enable the Shared Clean Energy Facilities (“SCEF”) </w:t>
      </w:r>
      <w:r w:rsidR="00D23679">
        <w:rPr>
          <w:rFonts w:eastAsia="Times New Roman" w:cs="Arial"/>
        </w:rPr>
        <w:lastRenderedPageBreak/>
        <w:t xml:space="preserve">program to support additional public policy objectives of the State of Connecticut (e.g., 80% weatherization by 2030).  </w:t>
      </w:r>
      <w:r w:rsidR="00B75A80">
        <w:rPr>
          <w:rFonts w:eastAsia="Times New Roman" w:cs="Arial"/>
        </w:rPr>
        <w:t>After a long discussion, b</w:t>
      </w:r>
      <w:r w:rsidR="00D23679">
        <w:rPr>
          <w:rFonts w:eastAsia="Times New Roman" w:cs="Arial"/>
        </w:rPr>
        <w:t xml:space="preserve">oth DEEP and OCC suggested that the concept be </w:t>
      </w:r>
      <w:r w:rsidR="00B75A80">
        <w:rPr>
          <w:rFonts w:eastAsia="Times New Roman" w:cs="Arial"/>
        </w:rPr>
        <w:t>vetted by</w:t>
      </w:r>
      <w:r w:rsidR="00D23679">
        <w:rPr>
          <w:rFonts w:eastAsia="Times New Roman" w:cs="Arial"/>
        </w:rPr>
        <w:t xml:space="preserve"> the Joint Committee,</w:t>
      </w:r>
      <w:r w:rsidR="00D23679">
        <w:rPr>
          <w:rStyle w:val="FootnoteReference"/>
          <w:rFonts w:eastAsia="Times New Roman" w:cs="Arial"/>
        </w:rPr>
        <w:footnoteReference w:id="2"/>
      </w:r>
      <w:r w:rsidR="00D23679">
        <w:rPr>
          <w:rFonts w:eastAsia="Times New Roman" w:cs="Arial"/>
        </w:rPr>
        <w:t xml:space="preserve"> </w:t>
      </w:r>
      <w:r w:rsidR="00B75A80">
        <w:rPr>
          <w:rFonts w:eastAsia="Times New Roman" w:cs="Arial"/>
        </w:rPr>
        <w:t>in response</w:t>
      </w:r>
      <w:r w:rsidR="00D23679">
        <w:rPr>
          <w:rFonts w:eastAsia="Times New Roman" w:cs="Arial"/>
        </w:rPr>
        <w:t xml:space="preserve"> to several questions </w:t>
      </w:r>
      <w:r w:rsidR="00B75A80">
        <w:rPr>
          <w:rFonts w:eastAsia="Times New Roman" w:cs="Arial"/>
        </w:rPr>
        <w:t xml:space="preserve">raised </w:t>
      </w:r>
      <w:r w:rsidR="00D23679">
        <w:rPr>
          <w:rFonts w:eastAsia="Times New Roman" w:cs="Arial"/>
        </w:rPr>
        <w:t>for discussion and consideration.</w:t>
      </w:r>
      <w:r w:rsidR="00D23679">
        <w:rPr>
          <w:rStyle w:val="FootnoteReference"/>
          <w:rFonts w:eastAsia="Times New Roman" w:cs="Arial"/>
        </w:rPr>
        <w:footnoteReference w:id="3"/>
      </w:r>
    </w:p>
    <w:p w14:paraId="270305CF" w14:textId="77777777" w:rsidR="00D23679" w:rsidRDefault="00D23679" w:rsidP="00D23679">
      <w:pPr>
        <w:pStyle w:val="ListParagraph"/>
        <w:spacing w:after="0" w:line="240" w:lineRule="auto"/>
        <w:ind w:right="792"/>
        <w:rPr>
          <w:rFonts w:eastAsia="Times New Roman" w:cs="Arial"/>
        </w:rPr>
      </w:pPr>
    </w:p>
    <w:p w14:paraId="2ED61F68" w14:textId="2372607A" w:rsidR="00D23679" w:rsidRDefault="00D23679" w:rsidP="00191B41">
      <w:pPr>
        <w:pStyle w:val="ListParagraph"/>
        <w:numPr>
          <w:ilvl w:val="0"/>
          <w:numId w:val="1"/>
        </w:numPr>
        <w:spacing w:after="0" w:line="240" w:lineRule="auto"/>
        <w:ind w:right="792"/>
        <w:rPr>
          <w:rFonts w:eastAsia="Times New Roman" w:cs="Arial"/>
        </w:rPr>
      </w:pPr>
      <w:r>
        <w:rPr>
          <w:rFonts w:eastAsia="Times New Roman" w:cs="Arial"/>
          <w:b/>
          <w:bCs/>
          <w:u w:val="single"/>
        </w:rPr>
        <w:t>Meeting with Joint Committee</w:t>
      </w:r>
      <w:r>
        <w:rPr>
          <w:rFonts w:eastAsia="Times New Roman" w:cs="Arial"/>
        </w:rPr>
        <w:t xml:space="preserve"> – </w:t>
      </w:r>
      <w:r w:rsidR="00B75A80">
        <w:rPr>
          <w:rFonts w:eastAsia="Times New Roman" w:cs="Arial"/>
        </w:rPr>
        <w:t>on Wednesday, June 29, 2022, the Joint Committee</w:t>
      </w:r>
      <w:r w:rsidR="00B75A80">
        <w:rPr>
          <w:rStyle w:val="FootnoteReference"/>
          <w:rFonts w:eastAsia="Times New Roman" w:cs="Arial"/>
        </w:rPr>
        <w:footnoteReference w:id="4"/>
      </w:r>
      <w:r w:rsidR="00B75A80">
        <w:rPr>
          <w:rFonts w:eastAsia="Times New Roman" w:cs="Arial"/>
        </w:rPr>
        <w:t xml:space="preserve"> met </w:t>
      </w:r>
      <w:r w:rsidR="00C82634">
        <w:rPr>
          <w:rFonts w:eastAsia="Times New Roman" w:cs="Arial"/>
        </w:rPr>
        <w:t xml:space="preserve">at its regularly scheduled quarterly meeting </w:t>
      </w:r>
      <w:r w:rsidR="00B869BD">
        <w:rPr>
          <w:rFonts w:eastAsia="Times New Roman" w:cs="Arial"/>
        </w:rPr>
        <w:t xml:space="preserve">and included </w:t>
      </w:r>
      <w:r w:rsidR="00C82634">
        <w:rPr>
          <w:rFonts w:eastAsia="Times New Roman" w:cs="Arial"/>
        </w:rPr>
        <w:t xml:space="preserve">a </w:t>
      </w:r>
      <w:r w:rsidR="00B75A80">
        <w:rPr>
          <w:rFonts w:eastAsia="Times New Roman" w:cs="Arial"/>
        </w:rPr>
        <w:t>discuss</w:t>
      </w:r>
      <w:r w:rsidR="00C82634">
        <w:rPr>
          <w:rFonts w:eastAsia="Times New Roman" w:cs="Arial"/>
        </w:rPr>
        <w:t>ion on</w:t>
      </w:r>
      <w:r w:rsidR="00B75A80">
        <w:rPr>
          <w:rFonts w:eastAsia="Times New Roman" w:cs="Arial"/>
        </w:rPr>
        <w:t xml:space="preserve"> the Green Bank </w:t>
      </w:r>
      <w:r w:rsidR="00AB18A7">
        <w:rPr>
          <w:rFonts w:eastAsia="Times New Roman" w:cs="Arial"/>
        </w:rPr>
        <w:t xml:space="preserve">proposal </w:t>
      </w:r>
      <w:r w:rsidR="00C82634">
        <w:rPr>
          <w:rFonts w:eastAsia="Times New Roman" w:cs="Arial"/>
        </w:rPr>
        <w:t>for SCEF</w:t>
      </w:r>
      <w:r w:rsidR="0089396B">
        <w:rPr>
          <w:rFonts w:eastAsia="Times New Roman" w:cs="Arial"/>
        </w:rPr>
        <w:t xml:space="preserve">.  Eversource provided an overview of </w:t>
      </w:r>
      <w:r w:rsidR="00B869BD">
        <w:rPr>
          <w:rFonts w:eastAsia="Times New Roman" w:cs="Arial"/>
        </w:rPr>
        <w:t xml:space="preserve">the </w:t>
      </w:r>
      <w:r w:rsidR="0089396B">
        <w:rPr>
          <w:rFonts w:eastAsia="Times New Roman" w:cs="Arial"/>
        </w:rPr>
        <w:t>SCEF</w:t>
      </w:r>
      <w:r w:rsidR="00B869BD">
        <w:rPr>
          <w:rFonts w:eastAsia="Times New Roman" w:cs="Arial"/>
        </w:rPr>
        <w:t xml:space="preserve"> program</w:t>
      </w:r>
      <w:r w:rsidR="0089396B">
        <w:rPr>
          <w:rFonts w:eastAsia="Times New Roman" w:cs="Arial"/>
        </w:rPr>
        <w:t xml:space="preserve">, Green Bank subsequently followed with a presentation of the </w:t>
      </w:r>
      <w:r w:rsidR="00AB18A7">
        <w:rPr>
          <w:rFonts w:eastAsia="Times New Roman" w:cs="Arial"/>
        </w:rPr>
        <w:t>proposal</w:t>
      </w:r>
      <w:r w:rsidR="00633ACB">
        <w:rPr>
          <w:rFonts w:eastAsia="Times New Roman" w:cs="Arial"/>
        </w:rPr>
        <w:t>, and a discussion on several raised questions ensued</w:t>
      </w:r>
      <w:r w:rsidR="0089396B">
        <w:rPr>
          <w:rFonts w:eastAsia="Times New Roman" w:cs="Arial"/>
        </w:rPr>
        <w:t xml:space="preserve">.  Following forty-five minutes of discussion </w:t>
      </w:r>
      <w:r w:rsidR="00633ACB">
        <w:rPr>
          <w:rFonts w:eastAsia="Times New Roman" w:cs="Arial"/>
        </w:rPr>
        <w:t>several points were raised, including, but not limited to:</w:t>
      </w:r>
    </w:p>
    <w:p w14:paraId="1B9AEFC0" w14:textId="77777777" w:rsidR="00633ACB" w:rsidRPr="00633ACB" w:rsidRDefault="00633ACB" w:rsidP="00633ACB">
      <w:pPr>
        <w:pStyle w:val="ListParagraph"/>
        <w:rPr>
          <w:rFonts w:eastAsia="Times New Roman" w:cs="Arial"/>
        </w:rPr>
      </w:pPr>
    </w:p>
    <w:p w14:paraId="68CD008C" w14:textId="75EBF592" w:rsidR="00633ACB" w:rsidRDefault="00633ACB" w:rsidP="00633ACB">
      <w:pPr>
        <w:pStyle w:val="ListParagraph"/>
        <w:numPr>
          <w:ilvl w:val="1"/>
          <w:numId w:val="1"/>
        </w:numPr>
        <w:spacing w:after="0" w:line="240" w:lineRule="auto"/>
        <w:ind w:right="792"/>
        <w:rPr>
          <w:rFonts w:eastAsia="Times New Roman" w:cs="Arial"/>
        </w:rPr>
      </w:pPr>
      <w:r>
        <w:rPr>
          <w:rFonts w:eastAsia="Times New Roman" w:cs="Arial"/>
          <w:b/>
          <w:bCs/>
          <w:u w:val="single"/>
        </w:rPr>
        <w:t>Owner-Tenant Problem</w:t>
      </w:r>
      <w:r>
        <w:rPr>
          <w:rFonts w:eastAsia="Times New Roman" w:cs="Arial"/>
        </w:rPr>
        <w:t xml:space="preserve"> – how could the </w:t>
      </w:r>
      <w:r w:rsidR="00AB18A7">
        <w:rPr>
          <w:rFonts w:eastAsia="Times New Roman" w:cs="Arial"/>
        </w:rPr>
        <w:t>proposal</w:t>
      </w:r>
      <w:r>
        <w:rPr>
          <w:rFonts w:eastAsia="Times New Roman" w:cs="Arial"/>
        </w:rPr>
        <w:t xml:space="preserve"> overcome the owner-tenant problem;</w:t>
      </w:r>
    </w:p>
    <w:p w14:paraId="2BDE7C75" w14:textId="77777777" w:rsidR="00C90039" w:rsidRDefault="00C90039" w:rsidP="00B270E3">
      <w:pPr>
        <w:pStyle w:val="ListParagraph"/>
        <w:spacing w:after="0" w:line="240" w:lineRule="auto"/>
        <w:ind w:left="1440" w:right="792"/>
        <w:rPr>
          <w:rFonts w:eastAsia="Times New Roman" w:cs="Arial"/>
        </w:rPr>
      </w:pPr>
    </w:p>
    <w:p w14:paraId="65C974A1" w14:textId="742C925A" w:rsidR="003C4663" w:rsidRDefault="00C10137" w:rsidP="00633ACB">
      <w:pPr>
        <w:pStyle w:val="ListParagraph"/>
        <w:numPr>
          <w:ilvl w:val="1"/>
          <w:numId w:val="1"/>
        </w:numPr>
        <w:spacing w:after="0" w:line="240" w:lineRule="auto"/>
        <w:ind w:right="792"/>
        <w:rPr>
          <w:rFonts w:eastAsia="Times New Roman" w:cs="Arial"/>
        </w:rPr>
      </w:pPr>
      <w:r>
        <w:rPr>
          <w:rFonts w:eastAsia="Times New Roman" w:cs="Arial"/>
          <w:b/>
          <w:bCs/>
          <w:u w:val="single"/>
        </w:rPr>
        <w:t xml:space="preserve">Benefit Trade Off </w:t>
      </w:r>
      <w:r>
        <w:rPr>
          <w:rFonts w:eastAsia="Times New Roman" w:cs="Arial"/>
        </w:rPr>
        <w:t xml:space="preserve">– </w:t>
      </w:r>
      <w:r w:rsidR="00867E29">
        <w:rPr>
          <w:rFonts w:eastAsia="Times New Roman" w:cs="Arial"/>
        </w:rPr>
        <w:t xml:space="preserve">depending upon the use case, </w:t>
      </w:r>
      <w:r>
        <w:rPr>
          <w:rFonts w:eastAsia="Times New Roman" w:cs="Arial"/>
        </w:rPr>
        <w:t xml:space="preserve">by </w:t>
      </w:r>
      <w:r w:rsidR="00030375">
        <w:rPr>
          <w:rFonts w:eastAsia="Times New Roman" w:cs="Arial"/>
        </w:rPr>
        <w:t>redirecting the SCEF benefits to investments in a property</w:t>
      </w:r>
      <w:r w:rsidR="00103CE6">
        <w:rPr>
          <w:rFonts w:eastAsia="Times New Roman" w:cs="Arial"/>
        </w:rPr>
        <w:t xml:space="preserve">, the Subscriber may only </w:t>
      </w:r>
      <w:r w:rsidR="00E1013E">
        <w:rPr>
          <w:rFonts w:eastAsia="Times New Roman" w:cs="Arial"/>
        </w:rPr>
        <w:t>realize</w:t>
      </w:r>
      <w:r w:rsidR="00523E07">
        <w:rPr>
          <w:rFonts w:eastAsia="Times New Roman" w:cs="Arial"/>
        </w:rPr>
        <w:t xml:space="preserve"> the financial benefits </w:t>
      </w:r>
      <w:r w:rsidR="00C90039">
        <w:rPr>
          <w:rFonts w:eastAsia="Times New Roman" w:cs="Arial"/>
        </w:rPr>
        <w:t>of program participation so long as they continue to reside in the property, as opposed to the full term of the SCEF tariff;</w:t>
      </w:r>
    </w:p>
    <w:p w14:paraId="2A9CB2EC" w14:textId="77777777" w:rsidR="00633ACB" w:rsidRDefault="00633ACB" w:rsidP="00633ACB">
      <w:pPr>
        <w:pStyle w:val="ListParagraph"/>
        <w:spacing w:after="0" w:line="240" w:lineRule="auto"/>
        <w:ind w:left="1440" w:right="792"/>
        <w:rPr>
          <w:rFonts w:eastAsia="Times New Roman" w:cs="Arial"/>
        </w:rPr>
      </w:pPr>
    </w:p>
    <w:p w14:paraId="7A2C7765" w14:textId="0F356C28" w:rsidR="00633ACB" w:rsidRDefault="00633ACB" w:rsidP="00633ACB">
      <w:pPr>
        <w:pStyle w:val="ListParagraph"/>
        <w:numPr>
          <w:ilvl w:val="1"/>
          <w:numId w:val="1"/>
        </w:numPr>
        <w:spacing w:after="0" w:line="240" w:lineRule="auto"/>
        <w:ind w:right="792"/>
        <w:rPr>
          <w:rFonts w:eastAsia="Times New Roman" w:cs="Arial"/>
        </w:rPr>
      </w:pPr>
      <w:r>
        <w:rPr>
          <w:rFonts w:eastAsia="Times New Roman" w:cs="Arial"/>
          <w:b/>
          <w:bCs/>
          <w:u w:val="single"/>
        </w:rPr>
        <w:t>Additional Strain on Budgets</w:t>
      </w:r>
      <w:r>
        <w:rPr>
          <w:rFonts w:eastAsia="Times New Roman" w:cs="Arial"/>
        </w:rPr>
        <w:t xml:space="preserve"> – could </w:t>
      </w:r>
      <w:proofErr w:type="gramStart"/>
      <w:r>
        <w:rPr>
          <w:rFonts w:eastAsia="Times New Roman" w:cs="Arial"/>
        </w:rPr>
        <w:t>additional</w:t>
      </w:r>
      <w:proofErr w:type="gramEnd"/>
      <w:r>
        <w:rPr>
          <w:rFonts w:eastAsia="Times New Roman" w:cs="Arial"/>
        </w:rPr>
        <w:t xml:space="preserve"> </w:t>
      </w:r>
      <w:r w:rsidR="00B869BD">
        <w:rPr>
          <w:rFonts w:eastAsia="Times New Roman" w:cs="Arial"/>
        </w:rPr>
        <w:t xml:space="preserve">interest in weatherization </w:t>
      </w:r>
      <w:r>
        <w:rPr>
          <w:rFonts w:eastAsia="Times New Roman" w:cs="Arial"/>
        </w:rPr>
        <w:t xml:space="preserve">from </w:t>
      </w:r>
      <w:r w:rsidR="00B869BD">
        <w:rPr>
          <w:rFonts w:eastAsia="Times New Roman" w:cs="Arial"/>
        </w:rPr>
        <w:t xml:space="preserve">the </w:t>
      </w:r>
      <w:r>
        <w:rPr>
          <w:rFonts w:eastAsia="Times New Roman" w:cs="Arial"/>
        </w:rPr>
        <w:t>SCEF</w:t>
      </w:r>
      <w:r w:rsidR="00B869BD">
        <w:rPr>
          <w:rFonts w:eastAsia="Times New Roman" w:cs="Arial"/>
        </w:rPr>
        <w:t xml:space="preserve"> proposal</w:t>
      </w:r>
      <w:r>
        <w:rPr>
          <w:rFonts w:eastAsia="Times New Roman" w:cs="Arial"/>
        </w:rPr>
        <w:t xml:space="preserve"> cause strain on the resources </w:t>
      </w:r>
      <w:r w:rsidR="00B869BD">
        <w:rPr>
          <w:rFonts w:eastAsia="Times New Roman" w:cs="Arial"/>
        </w:rPr>
        <w:t>available</w:t>
      </w:r>
      <w:r>
        <w:rPr>
          <w:rFonts w:eastAsia="Times New Roman" w:cs="Arial"/>
        </w:rPr>
        <w:t xml:space="preserve"> through the C&amp;LM programs;</w:t>
      </w:r>
    </w:p>
    <w:p w14:paraId="5D419EB6" w14:textId="77777777" w:rsidR="00633ACB" w:rsidRPr="00633ACB" w:rsidRDefault="00633ACB" w:rsidP="00633ACB">
      <w:pPr>
        <w:pStyle w:val="ListParagraph"/>
        <w:rPr>
          <w:rFonts w:eastAsia="Times New Roman" w:cs="Arial"/>
        </w:rPr>
      </w:pPr>
    </w:p>
    <w:p w14:paraId="01420836" w14:textId="05660FB8" w:rsidR="00633ACB" w:rsidRDefault="00633ACB" w:rsidP="00633ACB">
      <w:pPr>
        <w:pStyle w:val="ListParagraph"/>
        <w:numPr>
          <w:ilvl w:val="1"/>
          <w:numId w:val="1"/>
        </w:numPr>
        <w:spacing w:after="0" w:line="240" w:lineRule="auto"/>
        <w:ind w:right="792"/>
        <w:rPr>
          <w:rFonts w:eastAsia="Times New Roman" w:cs="Arial"/>
        </w:rPr>
      </w:pPr>
      <w:r>
        <w:rPr>
          <w:rFonts w:eastAsia="Times New Roman" w:cs="Arial"/>
          <w:b/>
          <w:bCs/>
          <w:u w:val="single"/>
        </w:rPr>
        <w:t>Use of Proceeds</w:t>
      </w:r>
      <w:r>
        <w:rPr>
          <w:rFonts w:eastAsia="Times New Roman" w:cs="Arial"/>
        </w:rPr>
        <w:t xml:space="preserve"> – are there additional measures</w:t>
      </w:r>
      <w:r w:rsidR="00E763C0">
        <w:rPr>
          <w:rFonts w:eastAsia="Times New Roman" w:cs="Arial"/>
        </w:rPr>
        <w:t xml:space="preserve"> or use of proceeds (e.g., arrearages),</w:t>
      </w:r>
      <w:r>
        <w:rPr>
          <w:rFonts w:eastAsia="Times New Roman" w:cs="Arial"/>
        </w:rPr>
        <w:t xml:space="preserve"> that SCEF resources could be used for besides that which was posed as a use case (e.g., weatherization, including insulation and heat pumps);</w:t>
      </w:r>
      <w:r w:rsidR="00E763C0">
        <w:rPr>
          <w:rFonts w:eastAsia="Times New Roman" w:cs="Arial"/>
        </w:rPr>
        <w:t xml:space="preserve"> and</w:t>
      </w:r>
    </w:p>
    <w:p w14:paraId="58514036" w14:textId="77777777" w:rsidR="00633ACB" w:rsidRPr="00633ACB" w:rsidRDefault="00633ACB" w:rsidP="00633ACB">
      <w:pPr>
        <w:pStyle w:val="ListParagraph"/>
        <w:rPr>
          <w:rFonts w:eastAsia="Times New Roman" w:cs="Arial"/>
        </w:rPr>
      </w:pPr>
    </w:p>
    <w:p w14:paraId="1F1734CC" w14:textId="0F82EED6" w:rsidR="00633ACB" w:rsidRDefault="00633ACB" w:rsidP="00633ACB">
      <w:pPr>
        <w:pStyle w:val="ListParagraph"/>
        <w:numPr>
          <w:ilvl w:val="1"/>
          <w:numId w:val="1"/>
        </w:numPr>
        <w:spacing w:after="0" w:line="240" w:lineRule="auto"/>
        <w:ind w:right="792"/>
        <w:rPr>
          <w:rFonts w:eastAsia="Times New Roman" w:cs="Arial"/>
        </w:rPr>
      </w:pPr>
      <w:r>
        <w:rPr>
          <w:rFonts w:eastAsia="Times New Roman" w:cs="Arial"/>
          <w:b/>
          <w:bCs/>
          <w:u w:val="single"/>
        </w:rPr>
        <w:t>Need for Community Outreach</w:t>
      </w:r>
      <w:r>
        <w:rPr>
          <w:rFonts w:eastAsia="Times New Roman" w:cs="Arial"/>
        </w:rPr>
        <w:t xml:space="preserve"> </w:t>
      </w:r>
      <w:r w:rsidR="00E763C0">
        <w:rPr>
          <w:rFonts w:eastAsia="Times New Roman" w:cs="Arial"/>
        </w:rPr>
        <w:t>–</w:t>
      </w:r>
      <w:r>
        <w:rPr>
          <w:rFonts w:eastAsia="Times New Roman" w:cs="Arial"/>
        </w:rPr>
        <w:t xml:space="preserve"> </w:t>
      </w:r>
      <w:r w:rsidR="00E763C0">
        <w:rPr>
          <w:rFonts w:eastAsia="Times New Roman" w:cs="Arial"/>
        </w:rPr>
        <w:t xml:space="preserve">the </w:t>
      </w:r>
      <w:r w:rsidR="00AB18A7">
        <w:rPr>
          <w:rFonts w:eastAsia="Times New Roman" w:cs="Arial"/>
        </w:rPr>
        <w:t>proposal</w:t>
      </w:r>
      <w:r w:rsidR="00E763C0">
        <w:rPr>
          <w:rFonts w:eastAsia="Times New Roman" w:cs="Arial"/>
        </w:rPr>
        <w:t>, if pursued, would need a strong community outreach component, including friendly local ambassadors</w:t>
      </w:r>
      <w:r w:rsidR="00B869BD">
        <w:rPr>
          <w:rFonts w:eastAsia="Times New Roman" w:cs="Arial"/>
        </w:rPr>
        <w:t xml:space="preserve"> to explain the value proposition to customers</w:t>
      </w:r>
      <w:r w:rsidR="00C82634">
        <w:rPr>
          <w:rFonts w:eastAsia="Times New Roman" w:cs="Arial"/>
        </w:rPr>
        <w:t>.</w:t>
      </w:r>
    </w:p>
    <w:p w14:paraId="1FF02E87" w14:textId="7A024053" w:rsidR="00E763C0" w:rsidRDefault="00E763C0" w:rsidP="00E763C0">
      <w:pPr>
        <w:spacing w:after="0" w:line="240" w:lineRule="auto"/>
        <w:ind w:right="792"/>
        <w:rPr>
          <w:rFonts w:eastAsia="Times New Roman" w:cs="Arial"/>
        </w:rPr>
      </w:pPr>
    </w:p>
    <w:p w14:paraId="436AA198" w14:textId="2D1132FA" w:rsidR="00E763C0" w:rsidRPr="00E763C0" w:rsidRDefault="00E763C0" w:rsidP="00E763C0">
      <w:pPr>
        <w:spacing w:after="0" w:line="240" w:lineRule="auto"/>
        <w:ind w:left="720" w:right="792"/>
        <w:rPr>
          <w:rFonts w:eastAsia="Times New Roman" w:cs="Arial"/>
        </w:rPr>
      </w:pPr>
      <w:r>
        <w:rPr>
          <w:rFonts w:eastAsia="Times New Roman" w:cs="Arial"/>
        </w:rPr>
        <w:t xml:space="preserve">There was interest from the Joint Committee to continue the discussions on the </w:t>
      </w:r>
      <w:r w:rsidR="00AB18A7">
        <w:rPr>
          <w:rFonts w:eastAsia="Times New Roman" w:cs="Arial"/>
        </w:rPr>
        <w:t xml:space="preserve">proposal </w:t>
      </w:r>
      <w:r>
        <w:rPr>
          <w:rFonts w:eastAsia="Times New Roman" w:cs="Arial"/>
        </w:rPr>
        <w:t>through a PURA-overseen process.</w:t>
      </w:r>
    </w:p>
    <w:p w14:paraId="533F6D3E" w14:textId="08663BE4" w:rsidR="00633ACB" w:rsidRDefault="00633ACB" w:rsidP="00255254">
      <w:pPr>
        <w:pStyle w:val="ListParagraph"/>
        <w:pBdr>
          <w:bottom w:val="single" w:sz="4" w:space="1" w:color="auto"/>
        </w:pBdr>
        <w:ind w:left="0"/>
        <w:rPr>
          <w:rFonts w:eastAsia="Times New Roman" w:cs="Arial"/>
        </w:rPr>
      </w:pPr>
    </w:p>
    <w:p w14:paraId="55144F7A" w14:textId="0DC6753B" w:rsidR="00255254" w:rsidRDefault="00255254" w:rsidP="00255254">
      <w:pPr>
        <w:pStyle w:val="ListParagraph"/>
        <w:ind w:left="0"/>
        <w:rPr>
          <w:rFonts w:eastAsia="Times New Roman" w:cs="Arial"/>
        </w:rPr>
      </w:pPr>
    </w:p>
    <w:p w14:paraId="118C1FC5" w14:textId="07DD733F" w:rsidR="00255254" w:rsidRDefault="00AB18A7" w:rsidP="00255254">
      <w:pPr>
        <w:pStyle w:val="ListParagraph"/>
        <w:ind w:left="0"/>
        <w:rPr>
          <w:rFonts w:eastAsia="Times New Roman" w:cs="Arial"/>
          <w:b/>
          <w:bCs/>
        </w:rPr>
      </w:pPr>
      <w:r>
        <w:rPr>
          <w:rFonts w:eastAsia="Times New Roman" w:cs="Arial"/>
          <w:b/>
          <w:bCs/>
        </w:rPr>
        <w:t xml:space="preserve">Proposal </w:t>
      </w:r>
      <w:r w:rsidR="00255254">
        <w:rPr>
          <w:rFonts w:eastAsia="Times New Roman" w:cs="Arial"/>
          <w:b/>
          <w:bCs/>
        </w:rPr>
        <w:t>Overview</w:t>
      </w:r>
    </w:p>
    <w:p w14:paraId="111EEE99" w14:textId="502720EB" w:rsidR="00CC2D1E" w:rsidRPr="00CC2D1E" w:rsidRDefault="00CC2D1E" w:rsidP="0037296E">
      <w:pPr>
        <w:pStyle w:val="ListParagraph"/>
        <w:spacing w:after="0" w:line="240" w:lineRule="auto"/>
        <w:ind w:left="0"/>
        <w:rPr>
          <w:rFonts w:eastAsia="Times New Roman" w:cs="Arial"/>
          <w:i/>
          <w:iCs/>
        </w:rPr>
      </w:pPr>
      <w:r>
        <w:rPr>
          <w:rFonts w:eastAsia="Times New Roman" w:cs="Arial"/>
          <w:i/>
          <w:iCs/>
        </w:rPr>
        <w:t>Participants in SCEF</w:t>
      </w:r>
    </w:p>
    <w:p w14:paraId="2C2FF64D" w14:textId="1B977AC1" w:rsidR="00255254" w:rsidRDefault="00255254" w:rsidP="0037296E">
      <w:pPr>
        <w:pStyle w:val="ListParagraph"/>
        <w:spacing w:after="0" w:line="240" w:lineRule="auto"/>
        <w:ind w:left="0"/>
        <w:rPr>
          <w:rFonts w:eastAsia="Times New Roman" w:cs="Arial"/>
        </w:rPr>
      </w:pPr>
      <w:r>
        <w:rPr>
          <w:rFonts w:eastAsia="Times New Roman" w:cs="Arial"/>
        </w:rPr>
        <w:lastRenderedPageBreak/>
        <w:t>The Subscriber Savings provided to Subscribers</w:t>
      </w:r>
      <w:r w:rsidR="00C82634">
        <w:rPr>
          <w:rFonts w:eastAsia="Times New Roman" w:cs="Arial"/>
        </w:rPr>
        <w:t xml:space="preserve"> of SCEF</w:t>
      </w:r>
      <w:r>
        <w:rPr>
          <w:rFonts w:eastAsia="Times New Roman" w:cs="Arial"/>
        </w:rPr>
        <w:t xml:space="preserve">, provides an opportunity to raise proceeds to support additional public policy </w:t>
      </w:r>
      <w:r w:rsidR="0037296E">
        <w:rPr>
          <w:rFonts w:eastAsia="Times New Roman" w:cs="Arial"/>
        </w:rPr>
        <w:t xml:space="preserve">objectives </w:t>
      </w:r>
      <w:r>
        <w:rPr>
          <w:rFonts w:eastAsia="Times New Roman" w:cs="Arial"/>
        </w:rPr>
        <w:t>in Connecticut – see Table 1.</w:t>
      </w:r>
    </w:p>
    <w:p w14:paraId="157E7E62" w14:textId="77777777" w:rsidR="00CC2D1E" w:rsidRDefault="00CC2D1E" w:rsidP="0037296E">
      <w:pPr>
        <w:pStyle w:val="ListParagraph"/>
        <w:spacing w:after="0" w:line="240" w:lineRule="auto"/>
        <w:ind w:left="0"/>
        <w:rPr>
          <w:rFonts w:eastAsia="Times New Roman" w:cs="Arial"/>
        </w:rPr>
      </w:pPr>
    </w:p>
    <w:p w14:paraId="4E013BE9" w14:textId="0A449D37" w:rsidR="0037296E" w:rsidRDefault="0037296E" w:rsidP="0037296E">
      <w:pPr>
        <w:pStyle w:val="Caption"/>
        <w:keepNext/>
        <w:spacing w:after="0"/>
        <w:rPr>
          <w:b/>
          <w:bCs/>
          <w:i w:val="0"/>
          <w:iCs w:val="0"/>
          <w:color w:val="auto"/>
        </w:rPr>
      </w:pPr>
      <w:r w:rsidRPr="0037296E">
        <w:rPr>
          <w:b/>
          <w:bCs/>
          <w:i w:val="0"/>
          <w:iCs w:val="0"/>
          <w:color w:val="auto"/>
        </w:rPr>
        <w:t xml:space="preserve">Table </w:t>
      </w:r>
      <w:r w:rsidRPr="0037296E">
        <w:rPr>
          <w:b/>
          <w:bCs/>
          <w:i w:val="0"/>
          <w:iCs w:val="0"/>
          <w:color w:val="auto"/>
        </w:rPr>
        <w:fldChar w:fldCharType="begin"/>
      </w:r>
      <w:r w:rsidRPr="0037296E">
        <w:rPr>
          <w:b/>
          <w:bCs/>
          <w:i w:val="0"/>
          <w:iCs w:val="0"/>
          <w:color w:val="auto"/>
        </w:rPr>
        <w:instrText xml:space="preserve"> SEQ Table \* ARABIC </w:instrText>
      </w:r>
      <w:r w:rsidRPr="0037296E">
        <w:rPr>
          <w:b/>
          <w:bCs/>
          <w:i w:val="0"/>
          <w:iCs w:val="0"/>
          <w:color w:val="auto"/>
        </w:rPr>
        <w:fldChar w:fldCharType="separate"/>
      </w:r>
      <w:r w:rsidR="006820E4">
        <w:rPr>
          <w:b/>
          <w:bCs/>
          <w:i w:val="0"/>
          <w:iCs w:val="0"/>
          <w:noProof/>
          <w:color w:val="auto"/>
        </w:rPr>
        <w:t>1</w:t>
      </w:r>
      <w:r w:rsidRPr="0037296E">
        <w:rPr>
          <w:b/>
          <w:bCs/>
          <w:i w:val="0"/>
          <w:iCs w:val="0"/>
          <w:color w:val="auto"/>
        </w:rPr>
        <w:fldChar w:fldCharType="end"/>
      </w:r>
      <w:r w:rsidRPr="0037296E">
        <w:rPr>
          <w:b/>
          <w:bCs/>
          <w:i w:val="0"/>
          <w:iCs w:val="0"/>
          <w:color w:val="auto"/>
        </w:rPr>
        <w:t>. Estimated Average Subscriber Savings p</w:t>
      </w:r>
      <w:r w:rsidR="00C82634">
        <w:rPr>
          <w:b/>
          <w:bCs/>
          <w:i w:val="0"/>
          <w:iCs w:val="0"/>
          <w:color w:val="auto"/>
        </w:rPr>
        <w:t xml:space="preserve">er </w:t>
      </w:r>
      <w:r w:rsidRPr="0037296E">
        <w:rPr>
          <w:b/>
          <w:bCs/>
          <w:i w:val="0"/>
          <w:iCs w:val="0"/>
          <w:color w:val="auto"/>
        </w:rPr>
        <w:t>Subscriber Over 20-Years</w:t>
      </w:r>
    </w:p>
    <w:p w14:paraId="09A85F01" w14:textId="77777777" w:rsidR="0037296E" w:rsidRPr="0037296E" w:rsidRDefault="0037296E" w:rsidP="0037296E">
      <w:pPr>
        <w:spacing w:after="0" w:line="240" w:lineRule="auto"/>
      </w:pPr>
    </w:p>
    <w:tbl>
      <w:tblPr>
        <w:tblStyle w:val="TableGrid"/>
        <w:tblW w:w="0" w:type="auto"/>
        <w:jc w:val="center"/>
        <w:tblLook w:val="04A0" w:firstRow="1" w:lastRow="0" w:firstColumn="1" w:lastColumn="0" w:noHBand="0" w:noVBand="1"/>
      </w:tblPr>
      <w:tblGrid>
        <w:gridCol w:w="1975"/>
        <w:gridCol w:w="1980"/>
        <w:gridCol w:w="2070"/>
        <w:gridCol w:w="1980"/>
      </w:tblGrid>
      <w:tr w:rsidR="00255254" w14:paraId="1E6F35A3" w14:textId="77777777" w:rsidTr="005F39D4">
        <w:trPr>
          <w:jc w:val="center"/>
        </w:trPr>
        <w:tc>
          <w:tcPr>
            <w:tcW w:w="1975" w:type="dxa"/>
          </w:tcPr>
          <w:p w14:paraId="230B38C1" w14:textId="77777777" w:rsidR="00255254" w:rsidRPr="0037296E" w:rsidRDefault="00255254" w:rsidP="0037296E">
            <w:pPr>
              <w:pStyle w:val="ListParagraph"/>
              <w:ind w:left="0"/>
              <w:jc w:val="center"/>
              <w:rPr>
                <w:rFonts w:eastAsia="Times New Roman" w:cs="Arial"/>
                <w:b/>
                <w:bCs/>
                <w:sz w:val="20"/>
                <w:szCs w:val="20"/>
              </w:rPr>
            </w:pPr>
            <w:r w:rsidRPr="0037296E">
              <w:rPr>
                <w:rFonts w:eastAsia="Times New Roman" w:cs="Arial"/>
                <w:b/>
                <w:bCs/>
                <w:sz w:val="20"/>
                <w:szCs w:val="20"/>
              </w:rPr>
              <w:t xml:space="preserve">Average Monthly Consumption </w:t>
            </w:r>
          </w:p>
          <w:p w14:paraId="2C37789B" w14:textId="06AFD857" w:rsidR="00255254" w:rsidRPr="0037296E" w:rsidRDefault="00255254" w:rsidP="0037296E">
            <w:pPr>
              <w:pStyle w:val="ListParagraph"/>
              <w:ind w:left="0"/>
              <w:jc w:val="center"/>
              <w:rPr>
                <w:rFonts w:eastAsia="Times New Roman" w:cs="Arial"/>
                <w:sz w:val="20"/>
                <w:szCs w:val="20"/>
              </w:rPr>
            </w:pPr>
            <w:r w:rsidRPr="0037296E">
              <w:rPr>
                <w:rFonts w:eastAsia="Times New Roman" w:cs="Arial"/>
                <w:sz w:val="20"/>
                <w:szCs w:val="20"/>
              </w:rPr>
              <w:t>(kWh)</w:t>
            </w:r>
          </w:p>
        </w:tc>
        <w:tc>
          <w:tcPr>
            <w:tcW w:w="1980" w:type="dxa"/>
          </w:tcPr>
          <w:p w14:paraId="671A937F" w14:textId="0BEDF901" w:rsidR="00255254" w:rsidRPr="0037296E" w:rsidRDefault="00255254" w:rsidP="0037296E">
            <w:pPr>
              <w:pStyle w:val="ListParagraph"/>
              <w:ind w:left="0"/>
              <w:jc w:val="center"/>
              <w:rPr>
                <w:rFonts w:eastAsia="Times New Roman" w:cs="Arial"/>
                <w:b/>
                <w:bCs/>
                <w:sz w:val="20"/>
                <w:szCs w:val="20"/>
              </w:rPr>
            </w:pPr>
            <w:r w:rsidRPr="0037296E">
              <w:rPr>
                <w:rFonts w:eastAsia="Times New Roman" w:cs="Arial"/>
                <w:b/>
                <w:bCs/>
                <w:sz w:val="20"/>
                <w:szCs w:val="20"/>
              </w:rPr>
              <w:t>SCEF Subscriber Savings per kWh of Consumption</w:t>
            </w:r>
          </w:p>
        </w:tc>
        <w:tc>
          <w:tcPr>
            <w:tcW w:w="2070" w:type="dxa"/>
          </w:tcPr>
          <w:p w14:paraId="01994A07" w14:textId="2B0338D7" w:rsidR="00255254" w:rsidRPr="0037296E" w:rsidRDefault="00255254" w:rsidP="0037296E">
            <w:pPr>
              <w:pStyle w:val="ListParagraph"/>
              <w:ind w:left="0"/>
              <w:jc w:val="center"/>
              <w:rPr>
                <w:rFonts w:eastAsia="Times New Roman" w:cs="Arial"/>
                <w:b/>
                <w:bCs/>
                <w:sz w:val="20"/>
                <w:szCs w:val="20"/>
              </w:rPr>
            </w:pPr>
            <w:r w:rsidRPr="0037296E">
              <w:rPr>
                <w:rFonts w:eastAsia="Times New Roman" w:cs="Arial"/>
                <w:b/>
                <w:bCs/>
                <w:sz w:val="20"/>
                <w:szCs w:val="20"/>
              </w:rPr>
              <w:t>Average Annual Subscriber Savings</w:t>
            </w:r>
          </w:p>
        </w:tc>
        <w:tc>
          <w:tcPr>
            <w:tcW w:w="1980" w:type="dxa"/>
          </w:tcPr>
          <w:p w14:paraId="70B9AEAE" w14:textId="397083D3" w:rsidR="00255254" w:rsidRPr="0037296E" w:rsidRDefault="0037296E" w:rsidP="0037296E">
            <w:pPr>
              <w:pStyle w:val="ListParagraph"/>
              <w:ind w:left="0"/>
              <w:jc w:val="center"/>
              <w:rPr>
                <w:rFonts w:eastAsia="Times New Roman" w:cs="Arial"/>
                <w:b/>
                <w:bCs/>
                <w:sz w:val="20"/>
                <w:szCs w:val="20"/>
              </w:rPr>
            </w:pPr>
            <w:r w:rsidRPr="0037296E">
              <w:rPr>
                <w:rFonts w:eastAsia="Times New Roman" w:cs="Arial"/>
                <w:b/>
                <w:bCs/>
                <w:sz w:val="20"/>
                <w:szCs w:val="20"/>
              </w:rPr>
              <w:t>Average 20-Year Subscriber Savings</w:t>
            </w:r>
          </w:p>
        </w:tc>
      </w:tr>
      <w:tr w:rsidR="00255254" w14:paraId="6E462B07" w14:textId="77777777" w:rsidTr="005F39D4">
        <w:trPr>
          <w:jc w:val="center"/>
        </w:trPr>
        <w:tc>
          <w:tcPr>
            <w:tcW w:w="1975" w:type="dxa"/>
          </w:tcPr>
          <w:p w14:paraId="2B6966F0" w14:textId="24C806F3" w:rsidR="00255254" w:rsidRPr="0037296E" w:rsidRDefault="00255254" w:rsidP="00255254">
            <w:pPr>
              <w:pStyle w:val="ListParagraph"/>
              <w:ind w:left="0"/>
              <w:jc w:val="center"/>
              <w:rPr>
                <w:rFonts w:eastAsia="Times New Roman" w:cs="Arial"/>
                <w:sz w:val="20"/>
                <w:szCs w:val="20"/>
              </w:rPr>
            </w:pPr>
            <w:r w:rsidRPr="0037296E">
              <w:rPr>
                <w:rFonts w:eastAsia="Times New Roman" w:cs="Arial"/>
                <w:sz w:val="20"/>
                <w:szCs w:val="20"/>
              </w:rPr>
              <w:t>800</w:t>
            </w:r>
          </w:p>
        </w:tc>
        <w:tc>
          <w:tcPr>
            <w:tcW w:w="1980" w:type="dxa"/>
          </w:tcPr>
          <w:p w14:paraId="059ECBEC" w14:textId="3B05DF4B" w:rsidR="00255254" w:rsidRPr="0037296E" w:rsidRDefault="00255254" w:rsidP="00255254">
            <w:pPr>
              <w:pStyle w:val="ListParagraph"/>
              <w:ind w:left="0"/>
              <w:jc w:val="center"/>
              <w:rPr>
                <w:rFonts w:eastAsia="Times New Roman" w:cs="Arial"/>
                <w:sz w:val="20"/>
                <w:szCs w:val="20"/>
              </w:rPr>
            </w:pPr>
            <w:r w:rsidRPr="0037296E">
              <w:rPr>
                <w:rFonts w:eastAsia="Times New Roman" w:cs="Arial"/>
                <w:sz w:val="20"/>
                <w:szCs w:val="20"/>
              </w:rPr>
              <w:t>$0.025</w:t>
            </w:r>
          </w:p>
        </w:tc>
        <w:tc>
          <w:tcPr>
            <w:tcW w:w="2070" w:type="dxa"/>
          </w:tcPr>
          <w:p w14:paraId="3801E232" w14:textId="6DEFE3B4" w:rsidR="00255254" w:rsidRPr="0037296E" w:rsidRDefault="00255254" w:rsidP="00255254">
            <w:pPr>
              <w:pStyle w:val="ListParagraph"/>
              <w:ind w:left="0"/>
              <w:jc w:val="center"/>
              <w:rPr>
                <w:rFonts w:eastAsia="Times New Roman" w:cs="Arial"/>
                <w:sz w:val="20"/>
                <w:szCs w:val="20"/>
              </w:rPr>
            </w:pPr>
            <w:r w:rsidRPr="0037296E">
              <w:rPr>
                <w:rFonts w:eastAsia="Times New Roman" w:cs="Arial"/>
                <w:sz w:val="20"/>
                <w:szCs w:val="20"/>
              </w:rPr>
              <w:t>$240</w:t>
            </w:r>
          </w:p>
        </w:tc>
        <w:tc>
          <w:tcPr>
            <w:tcW w:w="1980" w:type="dxa"/>
          </w:tcPr>
          <w:p w14:paraId="3B4F5A40" w14:textId="089A7E6D" w:rsidR="00255254" w:rsidRPr="0037296E" w:rsidRDefault="0037296E" w:rsidP="00255254">
            <w:pPr>
              <w:pStyle w:val="ListParagraph"/>
              <w:ind w:left="0"/>
              <w:jc w:val="center"/>
              <w:rPr>
                <w:rFonts w:eastAsia="Times New Roman" w:cs="Arial"/>
                <w:sz w:val="20"/>
                <w:szCs w:val="20"/>
              </w:rPr>
            </w:pPr>
            <w:r w:rsidRPr="0037296E">
              <w:rPr>
                <w:rFonts w:eastAsia="Times New Roman" w:cs="Arial"/>
                <w:sz w:val="20"/>
                <w:szCs w:val="20"/>
              </w:rPr>
              <w:t>$4,800</w:t>
            </w:r>
          </w:p>
        </w:tc>
      </w:tr>
    </w:tbl>
    <w:p w14:paraId="4C1C9E24" w14:textId="77777777" w:rsidR="00CC2D1E" w:rsidRDefault="00CC2D1E" w:rsidP="0037296E">
      <w:pPr>
        <w:pStyle w:val="ListParagraph"/>
        <w:spacing w:after="0"/>
        <w:ind w:left="0"/>
        <w:rPr>
          <w:rFonts w:eastAsia="Times New Roman" w:cs="Arial"/>
        </w:rPr>
      </w:pPr>
    </w:p>
    <w:p w14:paraId="4D1E41C3" w14:textId="559AE3DE" w:rsidR="00255254" w:rsidRPr="00255254" w:rsidRDefault="0037296E" w:rsidP="0037296E">
      <w:pPr>
        <w:pStyle w:val="ListParagraph"/>
        <w:spacing w:after="0"/>
        <w:ind w:left="0"/>
        <w:rPr>
          <w:rFonts w:eastAsia="Times New Roman" w:cs="Arial"/>
        </w:rPr>
      </w:pPr>
      <w:r>
        <w:rPr>
          <w:rFonts w:eastAsia="Times New Roman" w:cs="Arial"/>
        </w:rPr>
        <w:t>On average, a Subscriber would receive $4,800 over 20-years on a nominal basis, and about $3,000 on a net present value basis (i.e., 5% discount rate).</w:t>
      </w:r>
      <w:r w:rsidR="00CC2D1E">
        <w:rPr>
          <w:rFonts w:eastAsia="Times New Roman" w:cs="Arial"/>
        </w:rPr>
        <w:t xml:space="preserve">  The </w:t>
      </w:r>
      <w:r w:rsidR="00AB18A7">
        <w:rPr>
          <w:rFonts w:eastAsia="Times New Roman" w:cs="Arial"/>
        </w:rPr>
        <w:t xml:space="preserve">proposal </w:t>
      </w:r>
      <w:r w:rsidR="00CC2D1E">
        <w:rPr>
          <w:rFonts w:eastAsia="Times New Roman" w:cs="Arial"/>
        </w:rPr>
        <w:t xml:space="preserve">would allow Subscribers to assign the 20-year value of their Subscriber Savings to their meter, allowing Subscribers to direct those proceeds towards other </w:t>
      </w:r>
      <w:r w:rsidR="008E32B2">
        <w:rPr>
          <w:rFonts w:eastAsia="Times New Roman" w:cs="Arial"/>
        </w:rPr>
        <w:t>investments</w:t>
      </w:r>
      <w:r w:rsidR="00C82634">
        <w:rPr>
          <w:rFonts w:eastAsia="Times New Roman" w:cs="Arial"/>
        </w:rPr>
        <w:t xml:space="preserve"> on the property</w:t>
      </w:r>
      <w:r w:rsidR="00CC2D1E">
        <w:rPr>
          <w:rFonts w:eastAsia="Times New Roman" w:cs="Arial"/>
        </w:rPr>
        <w:t xml:space="preserve"> (e.g., weatherization), that would enable </w:t>
      </w:r>
      <w:r w:rsidR="00C82634">
        <w:rPr>
          <w:rFonts w:eastAsia="Times New Roman" w:cs="Arial"/>
        </w:rPr>
        <w:t>the Subscriber</w:t>
      </w:r>
      <w:r w:rsidR="00CC2D1E">
        <w:rPr>
          <w:rFonts w:eastAsia="Times New Roman" w:cs="Arial"/>
        </w:rPr>
        <w:t xml:space="preserve"> to achieve greater energy burden reduction (i.e., greater than the $240 of Subscriber Savings per year).</w:t>
      </w:r>
    </w:p>
    <w:p w14:paraId="5103D3F2" w14:textId="00EBAD77" w:rsidR="00255254" w:rsidRDefault="00255254" w:rsidP="0037296E">
      <w:pPr>
        <w:pStyle w:val="ListParagraph"/>
        <w:spacing w:after="0"/>
        <w:ind w:left="0"/>
        <w:rPr>
          <w:rFonts w:eastAsia="Times New Roman" w:cs="Arial"/>
        </w:rPr>
      </w:pPr>
    </w:p>
    <w:p w14:paraId="6C6A4E4C" w14:textId="0999C803" w:rsidR="00CC2D1E" w:rsidRPr="00CC2D1E" w:rsidRDefault="00CC2D1E" w:rsidP="0037296E">
      <w:pPr>
        <w:pStyle w:val="ListParagraph"/>
        <w:spacing w:after="0"/>
        <w:ind w:left="0"/>
        <w:rPr>
          <w:rFonts w:eastAsia="Times New Roman" w:cs="Arial"/>
          <w:i/>
          <w:iCs/>
        </w:rPr>
      </w:pPr>
      <w:r>
        <w:rPr>
          <w:rFonts w:eastAsia="Times New Roman" w:cs="Arial"/>
          <w:i/>
          <w:iCs/>
        </w:rPr>
        <w:t>Potential Proceeds from SCEF</w:t>
      </w:r>
    </w:p>
    <w:p w14:paraId="0CB59A17" w14:textId="2DCFEDBB" w:rsidR="0037296E" w:rsidRDefault="0037296E" w:rsidP="0037296E">
      <w:pPr>
        <w:pStyle w:val="ListParagraph"/>
        <w:spacing w:after="0"/>
        <w:ind w:left="0"/>
        <w:rPr>
          <w:rFonts w:eastAsia="Times New Roman" w:cs="Arial"/>
        </w:rPr>
      </w:pPr>
      <w:r>
        <w:rPr>
          <w:rFonts w:eastAsia="Times New Roman" w:cs="Arial"/>
        </w:rPr>
        <w:t xml:space="preserve">The number of Subscribers </w:t>
      </w:r>
      <w:r w:rsidR="00E92D01">
        <w:rPr>
          <w:rFonts w:eastAsia="Times New Roman" w:cs="Arial"/>
        </w:rPr>
        <w:t xml:space="preserve">and the total amount of Subscriber Savings resulting from clean energy deployment through SCEF </w:t>
      </w:r>
      <w:r>
        <w:rPr>
          <w:rFonts w:eastAsia="Times New Roman" w:cs="Arial"/>
        </w:rPr>
        <w:t>is dependent upon the make-up of clean energy technologies deployed</w:t>
      </w:r>
      <w:r w:rsidR="00E92D01">
        <w:rPr>
          <w:rFonts w:eastAsia="Times New Roman" w:cs="Arial"/>
        </w:rPr>
        <w:t xml:space="preserve"> </w:t>
      </w:r>
      <w:r>
        <w:rPr>
          <w:rFonts w:eastAsia="Times New Roman" w:cs="Arial"/>
        </w:rPr>
        <w:t>– see Table 2.</w:t>
      </w:r>
      <w:r w:rsidR="008E32B2">
        <w:rPr>
          <w:rFonts w:eastAsia="Times New Roman" w:cs="Arial"/>
        </w:rPr>
        <w:t xml:space="preserve">  Under SCEF, starting in Round 3 (i.e., Year 3), up to 50 MW of grid-tied clean energy can be procured each year – as opposed to 25 MW for Rounds 1 and 2</w:t>
      </w:r>
      <w:r w:rsidR="00AB18A7">
        <w:rPr>
          <w:rFonts w:eastAsia="Times New Roman" w:cs="Arial"/>
        </w:rPr>
        <w:t xml:space="preserve"> (i.e., Years 1 and 2)</w:t>
      </w:r>
      <w:r w:rsidR="008E32B2">
        <w:rPr>
          <w:rFonts w:eastAsia="Times New Roman" w:cs="Arial"/>
        </w:rPr>
        <w:t>.</w:t>
      </w:r>
    </w:p>
    <w:p w14:paraId="6778E2A7" w14:textId="239C188E" w:rsidR="0037296E" w:rsidRDefault="0037296E" w:rsidP="0037296E">
      <w:pPr>
        <w:pStyle w:val="ListParagraph"/>
        <w:spacing w:after="0"/>
        <w:ind w:left="0"/>
        <w:rPr>
          <w:rFonts w:eastAsia="Times New Roman" w:cs="Arial"/>
        </w:rPr>
      </w:pPr>
    </w:p>
    <w:p w14:paraId="785AB8E6" w14:textId="0FFE12A3" w:rsidR="00C82634" w:rsidRPr="00C82634" w:rsidRDefault="00C82634" w:rsidP="00C82634">
      <w:pPr>
        <w:pStyle w:val="Caption"/>
        <w:keepNext/>
        <w:rPr>
          <w:b/>
          <w:bCs/>
          <w:i w:val="0"/>
          <w:iCs w:val="0"/>
          <w:color w:val="auto"/>
        </w:rPr>
      </w:pPr>
      <w:r w:rsidRPr="00C82634">
        <w:rPr>
          <w:b/>
          <w:bCs/>
          <w:i w:val="0"/>
          <w:iCs w:val="0"/>
          <w:color w:val="auto"/>
        </w:rPr>
        <w:t xml:space="preserve">Table </w:t>
      </w:r>
      <w:r w:rsidRPr="00C82634">
        <w:rPr>
          <w:b/>
          <w:bCs/>
          <w:i w:val="0"/>
          <w:iCs w:val="0"/>
          <w:color w:val="auto"/>
        </w:rPr>
        <w:fldChar w:fldCharType="begin"/>
      </w:r>
      <w:r w:rsidRPr="00C82634">
        <w:rPr>
          <w:b/>
          <w:bCs/>
          <w:i w:val="0"/>
          <w:iCs w:val="0"/>
          <w:color w:val="auto"/>
        </w:rPr>
        <w:instrText xml:space="preserve"> SEQ Table \* ARABIC </w:instrText>
      </w:r>
      <w:r w:rsidRPr="00C82634">
        <w:rPr>
          <w:b/>
          <w:bCs/>
          <w:i w:val="0"/>
          <w:iCs w:val="0"/>
          <w:color w:val="auto"/>
        </w:rPr>
        <w:fldChar w:fldCharType="separate"/>
      </w:r>
      <w:r w:rsidR="006820E4">
        <w:rPr>
          <w:b/>
          <w:bCs/>
          <w:i w:val="0"/>
          <w:iCs w:val="0"/>
          <w:noProof/>
          <w:color w:val="auto"/>
        </w:rPr>
        <w:t>2</w:t>
      </w:r>
      <w:r w:rsidRPr="00C82634">
        <w:rPr>
          <w:b/>
          <w:bCs/>
          <w:i w:val="0"/>
          <w:iCs w:val="0"/>
          <w:color w:val="auto"/>
        </w:rPr>
        <w:fldChar w:fldCharType="end"/>
      </w:r>
      <w:r w:rsidRPr="00C82634">
        <w:rPr>
          <w:b/>
          <w:bCs/>
          <w:i w:val="0"/>
          <w:iCs w:val="0"/>
          <w:color w:val="auto"/>
        </w:rPr>
        <w:t>. Estimate of Annual Subscribers and Subscriber Savings based on Technology Composition</w:t>
      </w:r>
    </w:p>
    <w:tbl>
      <w:tblPr>
        <w:tblW w:w="10463" w:type="dxa"/>
        <w:tblInd w:w="-725" w:type="dxa"/>
        <w:tblLayout w:type="fixed"/>
        <w:tblLook w:val="04A0" w:firstRow="1" w:lastRow="0" w:firstColumn="1" w:lastColumn="0" w:noHBand="0" w:noVBand="1"/>
      </w:tblPr>
      <w:tblGrid>
        <w:gridCol w:w="3376"/>
        <w:gridCol w:w="1330"/>
        <w:gridCol w:w="1330"/>
        <w:gridCol w:w="1330"/>
        <w:gridCol w:w="1539"/>
        <w:gridCol w:w="1558"/>
      </w:tblGrid>
      <w:tr w:rsidR="00E03DE4" w:rsidRPr="00E03DE4" w14:paraId="03F3FC22" w14:textId="77777777" w:rsidTr="005F39D4">
        <w:trPr>
          <w:trHeight w:val="724"/>
        </w:trPr>
        <w:tc>
          <w:tcPr>
            <w:tcW w:w="3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B318" w14:textId="77777777" w:rsidR="00E03DE4" w:rsidRPr="00867E29" w:rsidRDefault="00E03DE4" w:rsidP="00E03DE4">
            <w:pPr>
              <w:spacing w:after="0" w:line="240" w:lineRule="auto"/>
              <w:rPr>
                <w:rFonts w:eastAsia="Times New Roman" w:cstheme="minorHAnsi"/>
                <w:color w:val="000000"/>
                <w:sz w:val="20"/>
                <w:szCs w:val="20"/>
              </w:rPr>
            </w:pPr>
            <w:r w:rsidRPr="00867E29">
              <w:rPr>
                <w:rFonts w:eastAsia="Times New Roman" w:cstheme="minorHAnsi"/>
                <w:color w:val="000000"/>
                <w:sz w:val="20"/>
                <w:szCs w:val="20"/>
              </w:rPr>
              <w:t>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070692BD" w14:textId="77777777" w:rsidR="00E03DE4" w:rsidRPr="00867E29" w:rsidRDefault="00E03DE4" w:rsidP="00867E29">
            <w:pPr>
              <w:spacing w:after="0" w:line="240" w:lineRule="auto"/>
              <w:jc w:val="center"/>
              <w:rPr>
                <w:rFonts w:eastAsia="Times New Roman" w:cstheme="minorHAnsi"/>
                <w:b/>
                <w:bCs/>
                <w:color w:val="000000"/>
                <w:sz w:val="20"/>
                <w:szCs w:val="20"/>
              </w:rPr>
            </w:pPr>
            <w:r w:rsidRPr="00867E29">
              <w:rPr>
                <w:rFonts w:eastAsia="Times New Roman" w:cstheme="minorHAnsi"/>
                <w:b/>
                <w:bCs/>
                <w:color w:val="000000"/>
                <w:sz w:val="20"/>
                <w:szCs w:val="20"/>
              </w:rPr>
              <w:t>Eversource</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2238092B" w14:textId="77777777" w:rsidR="00E03DE4" w:rsidRPr="00867E29" w:rsidRDefault="00E03DE4" w:rsidP="00867E29">
            <w:pPr>
              <w:spacing w:after="0" w:line="240" w:lineRule="auto"/>
              <w:jc w:val="center"/>
              <w:rPr>
                <w:rFonts w:eastAsia="Times New Roman" w:cstheme="minorHAnsi"/>
                <w:b/>
                <w:bCs/>
                <w:color w:val="000000"/>
                <w:sz w:val="20"/>
                <w:szCs w:val="20"/>
              </w:rPr>
            </w:pPr>
            <w:r w:rsidRPr="00867E29">
              <w:rPr>
                <w:rFonts w:eastAsia="Times New Roman" w:cstheme="minorHAnsi"/>
                <w:b/>
                <w:bCs/>
                <w:color w:val="000000"/>
                <w:sz w:val="20"/>
                <w:szCs w:val="20"/>
              </w:rPr>
              <w:t>UI</w:t>
            </w:r>
          </w:p>
        </w:tc>
        <w:tc>
          <w:tcPr>
            <w:tcW w:w="1330" w:type="dxa"/>
            <w:tcBorders>
              <w:top w:val="single" w:sz="4" w:space="0" w:color="auto"/>
              <w:left w:val="nil"/>
              <w:bottom w:val="single" w:sz="4" w:space="0" w:color="auto"/>
              <w:right w:val="single" w:sz="4" w:space="0" w:color="auto"/>
            </w:tcBorders>
            <w:shd w:val="clear" w:color="auto" w:fill="auto"/>
            <w:vAlign w:val="bottom"/>
            <w:hideMark/>
          </w:tcPr>
          <w:p w14:paraId="5AC48C6A" w14:textId="77777777" w:rsidR="00E03DE4" w:rsidRPr="00867E29" w:rsidRDefault="00E03DE4" w:rsidP="00867E29">
            <w:pPr>
              <w:spacing w:after="0" w:line="240" w:lineRule="auto"/>
              <w:jc w:val="center"/>
              <w:rPr>
                <w:rFonts w:eastAsia="Times New Roman" w:cstheme="minorHAnsi"/>
                <w:b/>
                <w:bCs/>
                <w:color w:val="000000"/>
                <w:sz w:val="20"/>
                <w:szCs w:val="20"/>
              </w:rPr>
            </w:pPr>
            <w:r w:rsidRPr="00867E29">
              <w:rPr>
                <w:rFonts w:eastAsia="Times New Roman" w:cstheme="minorHAnsi"/>
                <w:b/>
                <w:bCs/>
                <w:color w:val="000000"/>
                <w:sz w:val="20"/>
                <w:szCs w:val="20"/>
              </w:rPr>
              <w:t>Total</w:t>
            </w:r>
          </w:p>
        </w:tc>
        <w:tc>
          <w:tcPr>
            <w:tcW w:w="1539" w:type="dxa"/>
            <w:tcBorders>
              <w:top w:val="single" w:sz="4" w:space="0" w:color="auto"/>
              <w:left w:val="nil"/>
              <w:bottom w:val="single" w:sz="4" w:space="0" w:color="auto"/>
              <w:right w:val="single" w:sz="4" w:space="0" w:color="auto"/>
            </w:tcBorders>
            <w:shd w:val="clear" w:color="auto" w:fill="auto"/>
            <w:vAlign w:val="bottom"/>
            <w:hideMark/>
          </w:tcPr>
          <w:p w14:paraId="414B9786" w14:textId="77777777" w:rsidR="00E03DE4" w:rsidRPr="00867E29" w:rsidRDefault="00E03DE4" w:rsidP="00867E29">
            <w:pPr>
              <w:spacing w:after="0" w:line="240" w:lineRule="auto"/>
              <w:jc w:val="center"/>
              <w:rPr>
                <w:rFonts w:eastAsia="Times New Roman" w:cstheme="minorHAnsi"/>
                <w:b/>
                <w:bCs/>
                <w:color w:val="000000"/>
                <w:sz w:val="20"/>
                <w:szCs w:val="20"/>
              </w:rPr>
            </w:pPr>
            <w:r w:rsidRPr="00867E29">
              <w:rPr>
                <w:rFonts w:eastAsia="Times New Roman" w:cstheme="minorHAnsi"/>
                <w:b/>
                <w:bCs/>
                <w:color w:val="000000"/>
                <w:sz w:val="20"/>
                <w:szCs w:val="20"/>
              </w:rPr>
              <w:t>Estimated Number of Annual Subscribers</w:t>
            </w:r>
          </w:p>
        </w:tc>
        <w:tc>
          <w:tcPr>
            <w:tcW w:w="1558" w:type="dxa"/>
            <w:tcBorders>
              <w:top w:val="single" w:sz="4" w:space="0" w:color="auto"/>
              <w:left w:val="nil"/>
              <w:bottom w:val="single" w:sz="4" w:space="0" w:color="auto"/>
              <w:right w:val="single" w:sz="4" w:space="0" w:color="auto"/>
            </w:tcBorders>
            <w:shd w:val="clear" w:color="auto" w:fill="auto"/>
            <w:vAlign w:val="bottom"/>
            <w:hideMark/>
          </w:tcPr>
          <w:p w14:paraId="0C00C16E" w14:textId="77777777" w:rsidR="00E03DE4" w:rsidRPr="00867E29" w:rsidRDefault="00E03DE4" w:rsidP="00867E29">
            <w:pPr>
              <w:spacing w:after="0" w:line="240" w:lineRule="auto"/>
              <w:jc w:val="center"/>
              <w:rPr>
                <w:rFonts w:eastAsia="Times New Roman" w:cstheme="minorHAnsi"/>
                <w:b/>
                <w:bCs/>
                <w:color w:val="000000"/>
                <w:sz w:val="20"/>
                <w:szCs w:val="20"/>
              </w:rPr>
            </w:pPr>
            <w:r w:rsidRPr="00867E29">
              <w:rPr>
                <w:rFonts w:eastAsia="Times New Roman" w:cstheme="minorHAnsi"/>
                <w:b/>
                <w:bCs/>
                <w:color w:val="000000"/>
                <w:sz w:val="20"/>
                <w:szCs w:val="20"/>
              </w:rPr>
              <w:t>Estimated Annual Subscriber Savings</w:t>
            </w:r>
          </w:p>
        </w:tc>
      </w:tr>
      <w:tr w:rsidR="00E03DE4" w:rsidRPr="00E03DE4" w14:paraId="079DC6E8" w14:textId="77777777" w:rsidTr="005F39D4">
        <w:trPr>
          <w:trHeight w:val="255"/>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14:paraId="44C04B1C" w14:textId="3ABE6BBD" w:rsidR="00E03DE4" w:rsidRPr="00867E29" w:rsidRDefault="00E03DE4" w:rsidP="00E03DE4">
            <w:pPr>
              <w:spacing w:after="0" w:line="240" w:lineRule="auto"/>
              <w:rPr>
                <w:rFonts w:eastAsia="Times New Roman" w:cstheme="minorHAnsi"/>
                <w:color w:val="000000"/>
                <w:sz w:val="20"/>
                <w:szCs w:val="20"/>
              </w:rPr>
            </w:pPr>
            <w:r w:rsidRPr="00867E29">
              <w:rPr>
                <w:rFonts w:eastAsia="Times New Roman" w:cstheme="minorHAnsi"/>
                <w:color w:val="000000"/>
                <w:sz w:val="20"/>
                <w:szCs w:val="20"/>
              </w:rPr>
              <w:t xml:space="preserve">Year 1 </w:t>
            </w:r>
            <w:r w:rsidR="00BB69B2" w:rsidRPr="00867E29">
              <w:rPr>
                <w:rFonts w:eastAsia="Times New Roman" w:cstheme="minorHAnsi"/>
                <w:color w:val="000000"/>
                <w:sz w:val="20"/>
                <w:szCs w:val="20"/>
              </w:rPr>
              <w:t xml:space="preserve">Procurement </w:t>
            </w:r>
            <w:r w:rsidRPr="00867E29">
              <w:rPr>
                <w:rFonts w:eastAsia="Times New Roman" w:cstheme="minorHAnsi"/>
                <w:color w:val="000000"/>
                <w:sz w:val="20"/>
                <w:szCs w:val="20"/>
              </w:rPr>
              <w:t>Expected Annual Production (Actual)</w:t>
            </w:r>
          </w:p>
        </w:tc>
        <w:tc>
          <w:tcPr>
            <w:tcW w:w="1330" w:type="dxa"/>
            <w:tcBorders>
              <w:top w:val="nil"/>
              <w:left w:val="nil"/>
              <w:bottom w:val="single" w:sz="4" w:space="0" w:color="auto"/>
              <w:right w:val="single" w:sz="4" w:space="0" w:color="auto"/>
            </w:tcBorders>
            <w:shd w:val="clear" w:color="auto" w:fill="auto"/>
            <w:noWrap/>
            <w:vAlign w:val="bottom"/>
            <w:hideMark/>
          </w:tcPr>
          <w:p w14:paraId="200E3D4D" w14:textId="77777777" w:rsidR="00E03DE4" w:rsidRPr="00867E29" w:rsidRDefault="00E03DE4" w:rsidP="00E03DE4">
            <w:pPr>
              <w:spacing w:after="0" w:line="240" w:lineRule="auto"/>
              <w:jc w:val="right"/>
              <w:rPr>
                <w:rFonts w:eastAsia="Times New Roman" w:cstheme="minorHAnsi"/>
                <w:color w:val="000000"/>
                <w:sz w:val="20"/>
                <w:szCs w:val="20"/>
              </w:rPr>
            </w:pPr>
            <w:r w:rsidRPr="00867E29">
              <w:rPr>
                <w:rFonts w:eastAsia="Times New Roman" w:cstheme="minorHAnsi"/>
                <w:color w:val="000000"/>
                <w:sz w:val="20"/>
                <w:szCs w:val="20"/>
              </w:rPr>
              <w:t>38,266,877</w:t>
            </w:r>
          </w:p>
        </w:tc>
        <w:tc>
          <w:tcPr>
            <w:tcW w:w="1330" w:type="dxa"/>
            <w:tcBorders>
              <w:top w:val="nil"/>
              <w:left w:val="nil"/>
              <w:bottom w:val="single" w:sz="4" w:space="0" w:color="auto"/>
              <w:right w:val="single" w:sz="4" w:space="0" w:color="auto"/>
            </w:tcBorders>
            <w:shd w:val="clear" w:color="auto" w:fill="auto"/>
            <w:noWrap/>
            <w:vAlign w:val="bottom"/>
            <w:hideMark/>
          </w:tcPr>
          <w:p w14:paraId="5D527B6D" w14:textId="77777777" w:rsidR="00E03DE4" w:rsidRPr="00867E29" w:rsidRDefault="00E03DE4" w:rsidP="00E03DE4">
            <w:pPr>
              <w:spacing w:after="0" w:line="240" w:lineRule="auto"/>
              <w:jc w:val="right"/>
              <w:rPr>
                <w:rFonts w:eastAsia="Times New Roman" w:cstheme="minorHAnsi"/>
                <w:color w:val="000000"/>
                <w:sz w:val="20"/>
                <w:szCs w:val="20"/>
              </w:rPr>
            </w:pPr>
            <w:r w:rsidRPr="00867E29">
              <w:rPr>
                <w:rFonts w:eastAsia="Times New Roman" w:cstheme="minorHAnsi"/>
                <w:color w:val="000000"/>
                <w:sz w:val="20"/>
                <w:szCs w:val="20"/>
              </w:rPr>
              <w:t>31,724,076</w:t>
            </w:r>
          </w:p>
        </w:tc>
        <w:tc>
          <w:tcPr>
            <w:tcW w:w="1330" w:type="dxa"/>
            <w:tcBorders>
              <w:top w:val="nil"/>
              <w:left w:val="nil"/>
              <w:bottom w:val="single" w:sz="4" w:space="0" w:color="auto"/>
              <w:right w:val="single" w:sz="4" w:space="0" w:color="auto"/>
            </w:tcBorders>
            <w:shd w:val="clear" w:color="auto" w:fill="auto"/>
            <w:noWrap/>
            <w:vAlign w:val="bottom"/>
            <w:hideMark/>
          </w:tcPr>
          <w:p w14:paraId="4055F73D" w14:textId="77777777" w:rsidR="00E03DE4" w:rsidRPr="00867E29" w:rsidRDefault="00E03DE4" w:rsidP="00E03DE4">
            <w:pPr>
              <w:spacing w:after="0" w:line="240" w:lineRule="auto"/>
              <w:jc w:val="right"/>
              <w:rPr>
                <w:rFonts w:eastAsia="Times New Roman" w:cstheme="minorHAnsi"/>
                <w:color w:val="000000"/>
                <w:sz w:val="20"/>
                <w:szCs w:val="20"/>
              </w:rPr>
            </w:pPr>
            <w:r w:rsidRPr="00867E29">
              <w:rPr>
                <w:rFonts w:eastAsia="Times New Roman" w:cstheme="minorHAnsi"/>
                <w:color w:val="000000"/>
                <w:sz w:val="20"/>
                <w:szCs w:val="20"/>
              </w:rPr>
              <w:t>69,990,953</w:t>
            </w:r>
          </w:p>
        </w:tc>
        <w:tc>
          <w:tcPr>
            <w:tcW w:w="1539" w:type="dxa"/>
            <w:tcBorders>
              <w:top w:val="nil"/>
              <w:left w:val="nil"/>
              <w:bottom w:val="single" w:sz="4" w:space="0" w:color="auto"/>
              <w:right w:val="single" w:sz="4" w:space="0" w:color="auto"/>
            </w:tcBorders>
            <w:shd w:val="clear" w:color="auto" w:fill="auto"/>
            <w:noWrap/>
            <w:vAlign w:val="bottom"/>
            <w:hideMark/>
          </w:tcPr>
          <w:p w14:paraId="3CFAB58E" w14:textId="77777777" w:rsidR="00E03DE4" w:rsidRPr="00867E29" w:rsidRDefault="00E03DE4" w:rsidP="00E03DE4">
            <w:pPr>
              <w:spacing w:after="0" w:line="240" w:lineRule="auto"/>
              <w:rPr>
                <w:rFonts w:eastAsia="Times New Roman" w:cstheme="minorHAnsi"/>
                <w:color w:val="000000"/>
                <w:sz w:val="20"/>
                <w:szCs w:val="20"/>
              </w:rPr>
            </w:pPr>
            <w:r w:rsidRPr="00867E29">
              <w:rPr>
                <w:rFonts w:eastAsia="Times New Roman" w:cstheme="minorHAnsi"/>
                <w:color w:val="000000"/>
                <w:sz w:val="20"/>
                <w:szCs w:val="20"/>
              </w:rPr>
              <w:t xml:space="preserve">                        7,291 </w:t>
            </w:r>
          </w:p>
        </w:tc>
        <w:tc>
          <w:tcPr>
            <w:tcW w:w="1558" w:type="dxa"/>
            <w:tcBorders>
              <w:top w:val="nil"/>
              <w:left w:val="nil"/>
              <w:bottom w:val="single" w:sz="4" w:space="0" w:color="auto"/>
              <w:right w:val="single" w:sz="4" w:space="0" w:color="auto"/>
            </w:tcBorders>
            <w:shd w:val="clear" w:color="auto" w:fill="auto"/>
            <w:noWrap/>
            <w:vAlign w:val="bottom"/>
            <w:hideMark/>
          </w:tcPr>
          <w:p w14:paraId="7913CC9E" w14:textId="10FB05B9" w:rsidR="00E03DE4" w:rsidRPr="00867E29" w:rsidRDefault="00E03DE4" w:rsidP="00867E29">
            <w:pPr>
              <w:spacing w:after="0" w:line="240" w:lineRule="auto"/>
              <w:jc w:val="center"/>
              <w:rPr>
                <w:rFonts w:eastAsia="Times New Roman" w:cstheme="minorHAnsi"/>
                <w:color w:val="000000"/>
                <w:sz w:val="20"/>
                <w:szCs w:val="20"/>
              </w:rPr>
            </w:pPr>
            <w:r w:rsidRPr="00867E29">
              <w:rPr>
                <w:rFonts w:eastAsia="Times New Roman" w:cstheme="minorHAnsi"/>
                <w:color w:val="000000"/>
                <w:sz w:val="20"/>
                <w:szCs w:val="20"/>
              </w:rPr>
              <w:t>$1,749,774</w:t>
            </w:r>
          </w:p>
        </w:tc>
      </w:tr>
      <w:tr w:rsidR="00E03DE4" w:rsidRPr="00E03DE4" w14:paraId="0EF8ABF7" w14:textId="77777777" w:rsidTr="005F39D4">
        <w:trPr>
          <w:trHeight w:val="255"/>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14:paraId="4AE46F59" w14:textId="610678E5" w:rsidR="00E03DE4" w:rsidRPr="00867E29" w:rsidRDefault="00E03DE4" w:rsidP="00E03DE4">
            <w:pPr>
              <w:spacing w:after="0" w:line="240" w:lineRule="auto"/>
              <w:rPr>
                <w:rFonts w:eastAsia="Times New Roman" w:cstheme="minorHAnsi"/>
                <w:color w:val="000000"/>
                <w:sz w:val="20"/>
                <w:szCs w:val="20"/>
              </w:rPr>
            </w:pPr>
            <w:r w:rsidRPr="00867E29">
              <w:rPr>
                <w:rFonts w:eastAsia="Times New Roman" w:cstheme="minorHAnsi"/>
                <w:color w:val="000000"/>
                <w:sz w:val="20"/>
                <w:szCs w:val="20"/>
              </w:rPr>
              <w:t>Year 2</w:t>
            </w:r>
            <w:r w:rsidR="00BB69B2" w:rsidRPr="00867E29">
              <w:rPr>
                <w:rFonts w:eastAsia="Times New Roman" w:cstheme="minorHAnsi"/>
                <w:color w:val="000000"/>
                <w:sz w:val="20"/>
                <w:szCs w:val="20"/>
              </w:rPr>
              <w:t xml:space="preserve"> Procurement</w:t>
            </w:r>
            <w:r w:rsidRPr="00867E29">
              <w:rPr>
                <w:rFonts w:eastAsia="Times New Roman" w:cstheme="minorHAnsi"/>
                <w:color w:val="000000"/>
                <w:sz w:val="20"/>
                <w:szCs w:val="20"/>
              </w:rPr>
              <w:t xml:space="preserve"> Expected Annual Production (Actual)</w:t>
            </w:r>
          </w:p>
        </w:tc>
        <w:tc>
          <w:tcPr>
            <w:tcW w:w="1330" w:type="dxa"/>
            <w:tcBorders>
              <w:top w:val="nil"/>
              <w:left w:val="nil"/>
              <w:bottom w:val="single" w:sz="4" w:space="0" w:color="auto"/>
              <w:right w:val="single" w:sz="4" w:space="0" w:color="auto"/>
            </w:tcBorders>
            <w:shd w:val="clear" w:color="auto" w:fill="auto"/>
            <w:noWrap/>
            <w:vAlign w:val="bottom"/>
            <w:hideMark/>
          </w:tcPr>
          <w:p w14:paraId="38908498" w14:textId="77777777" w:rsidR="00E03DE4" w:rsidRPr="00867E29" w:rsidRDefault="00E03DE4" w:rsidP="00E03DE4">
            <w:pPr>
              <w:spacing w:after="0" w:line="240" w:lineRule="auto"/>
              <w:jc w:val="right"/>
              <w:rPr>
                <w:rFonts w:eastAsia="Times New Roman" w:cstheme="minorHAnsi"/>
                <w:color w:val="000000"/>
                <w:sz w:val="20"/>
                <w:szCs w:val="20"/>
              </w:rPr>
            </w:pPr>
            <w:r w:rsidRPr="00867E29">
              <w:rPr>
                <w:rFonts w:eastAsia="Times New Roman" w:cstheme="minorHAnsi"/>
                <w:color w:val="000000"/>
                <w:sz w:val="20"/>
                <w:szCs w:val="20"/>
              </w:rPr>
              <w:t>44,281,164</w:t>
            </w:r>
          </w:p>
        </w:tc>
        <w:tc>
          <w:tcPr>
            <w:tcW w:w="1330" w:type="dxa"/>
            <w:tcBorders>
              <w:top w:val="nil"/>
              <w:left w:val="nil"/>
              <w:bottom w:val="single" w:sz="4" w:space="0" w:color="auto"/>
              <w:right w:val="single" w:sz="4" w:space="0" w:color="auto"/>
            </w:tcBorders>
            <w:shd w:val="clear" w:color="auto" w:fill="auto"/>
            <w:noWrap/>
            <w:vAlign w:val="bottom"/>
            <w:hideMark/>
          </w:tcPr>
          <w:p w14:paraId="1B3B9E34" w14:textId="77777777" w:rsidR="00E03DE4" w:rsidRPr="00867E29" w:rsidRDefault="00E03DE4" w:rsidP="00E03DE4">
            <w:pPr>
              <w:spacing w:after="0" w:line="240" w:lineRule="auto"/>
              <w:jc w:val="right"/>
              <w:rPr>
                <w:rFonts w:eastAsia="Times New Roman" w:cstheme="minorHAnsi"/>
                <w:color w:val="000000"/>
                <w:sz w:val="20"/>
                <w:szCs w:val="20"/>
              </w:rPr>
            </w:pPr>
            <w:r w:rsidRPr="00867E29">
              <w:rPr>
                <w:rFonts w:eastAsia="Times New Roman" w:cstheme="minorHAnsi"/>
                <w:color w:val="000000"/>
                <w:sz w:val="20"/>
                <w:szCs w:val="20"/>
              </w:rPr>
              <w:t>3,391,000</w:t>
            </w:r>
          </w:p>
        </w:tc>
        <w:tc>
          <w:tcPr>
            <w:tcW w:w="1330" w:type="dxa"/>
            <w:tcBorders>
              <w:top w:val="nil"/>
              <w:left w:val="nil"/>
              <w:bottom w:val="single" w:sz="4" w:space="0" w:color="auto"/>
              <w:right w:val="single" w:sz="4" w:space="0" w:color="auto"/>
            </w:tcBorders>
            <w:shd w:val="clear" w:color="auto" w:fill="auto"/>
            <w:noWrap/>
            <w:vAlign w:val="bottom"/>
            <w:hideMark/>
          </w:tcPr>
          <w:p w14:paraId="5930E258" w14:textId="77777777" w:rsidR="00E03DE4" w:rsidRPr="00867E29" w:rsidRDefault="00E03DE4" w:rsidP="00E03DE4">
            <w:pPr>
              <w:spacing w:after="0" w:line="240" w:lineRule="auto"/>
              <w:jc w:val="right"/>
              <w:rPr>
                <w:rFonts w:eastAsia="Times New Roman" w:cstheme="minorHAnsi"/>
                <w:color w:val="000000"/>
                <w:sz w:val="20"/>
                <w:szCs w:val="20"/>
              </w:rPr>
            </w:pPr>
            <w:r w:rsidRPr="00867E29">
              <w:rPr>
                <w:rFonts w:eastAsia="Times New Roman" w:cstheme="minorHAnsi"/>
                <w:color w:val="000000"/>
                <w:sz w:val="20"/>
                <w:szCs w:val="20"/>
              </w:rPr>
              <w:t>47,672,164</w:t>
            </w:r>
          </w:p>
        </w:tc>
        <w:tc>
          <w:tcPr>
            <w:tcW w:w="1539" w:type="dxa"/>
            <w:tcBorders>
              <w:top w:val="nil"/>
              <w:left w:val="nil"/>
              <w:bottom w:val="single" w:sz="4" w:space="0" w:color="auto"/>
              <w:right w:val="single" w:sz="4" w:space="0" w:color="auto"/>
            </w:tcBorders>
            <w:shd w:val="clear" w:color="auto" w:fill="auto"/>
            <w:noWrap/>
            <w:vAlign w:val="bottom"/>
            <w:hideMark/>
          </w:tcPr>
          <w:p w14:paraId="43681F50" w14:textId="77777777" w:rsidR="00E03DE4" w:rsidRPr="00867E29" w:rsidRDefault="00E03DE4" w:rsidP="00E03DE4">
            <w:pPr>
              <w:spacing w:after="0" w:line="240" w:lineRule="auto"/>
              <w:rPr>
                <w:rFonts w:eastAsia="Times New Roman" w:cstheme="minorHAnsi"/>
                <w:color w:val="000000"/>
                <w:sz w:val="20"/>
                <w:szCs w:val="20"/>
              </w:rPr>
            </w:pPr>
            <w:r w:rsidRPr="00867E29">
              <w:rPr>
                <w:rFonts w:eastAsia="Times New Roman" w:cstheme="minorHAnsi"/>
                <w:color w:val="000000"/>
                <w:sz w:val="20"/>
                <w:szCs w:val="20"/>
              </w:rPr>
              <w:t xml:space="preserve">                        4,966 </w:t>
            </w:r>
          </w:p>
        </w:tc>
        <w:tc>
          <w:tcPr>
            <w:tcW w:w="1558" w:type="dxa"/>
            <w:tcBorders>
              <w:top w:val="nil"/>
              <w:left w:val="nil"/>
              <w:bottom w:val="single" w:sz="4" w:space="0" w:color="auto"/>
              <w:right w:val="single" w:sz="4" w:space="0" w:color="auto"/>
            </w:tcBorders>
            <w:shd w:val="clear" w:color="auto" w:fill="auto"/>
            <w:noWrap/>
            <w:vAlign w:val="bottom"/>
            <w:hideMark/>
          </w:tcPr>
          <w:p w14:paraId="0C8615A2" w14:textId="5DE7FA40" w:rsidR="00E03DE4" w:rsidRPr="00867E29" w:rsidRDefault="00E03DE4" w:rsidP="00867E29">
            <w:pPr>
              <w:spacing w:after="0" w:line="240" w:lineRule="auto"/>
              <w:jc w:val="center"/>
              <w:rPr>
                <w:rFonts w:eastAsia="Times New Roman" w:cstheme="minorHAnsi"/>
                <w:color w:val="000000"/>
                <w:sz w:val="20"/>
                <w:szCs w:val="20"/>
              </w:rPr>
            </w:pPr>
            <w:r w:rsidRPr="00867E29">
              <w:rPr>
                <w:rFonts w:eastAsia="Times New Roman" w:cstheme="minorHAnsi"/>
                <w:color w:val="000000"/>
                <w:sz w:val="20"/>
                <w:szCs w:val="20"/>
              </w:rPr>
              <w:t>$1,191,804</w:t>
            </w:r>
          </w:p>
        </w:tc>
      </w:tr>
      <w:tr w:rsidR="00E03DE4" w:rsidRPr="00E03DE4" w14:paraId="087CA399" w14:textId="77777777" w:rsidTr="005F39D4">
        <w:trPr>
          <w:trHeight w:val="255"/>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14:paraId="74E9DA79" w14:textId="6279048F" w:rsidR="00E03DE4" w:rsidRPr="00867E29" w:rsidRDefault="00E03DE4" w:rsidP="00E03DE4">
            <w:pPr>
              <w:spacing w:after="0" w:line="240" w:lineRule="auto"/>
              <w:rPr>
                <w:rFonts w:eastAsia="Times New Roman" w:cstheme="minorHAnsi"/>
                <w:color w:val="000000"/>
                <w:sz w:val="20"/>
                <w:szCs w:val="20"/>
              </w:rPr>
            </w:pPr>
            <w:r w:rsidRPr="00867E29">
              <w:rPr>
                <w:rFonts w:eastAsia="Times New Roman" w:cstheme="minorHAnsi"/>
                <w:color w:val="000000"/>
                <w:sz w:val="20"/>
                <w:szCs w:val="20"/>
              </w:rPr>
              <w:t xml:space="preserve">Year 3 </w:t>
            </w:r>
            <w:r w:rsidR="00BB69B2" w:rsidRPr="00867E29">
              <w:rPr>
                <w:rFonts w:eastAsia="Times New Roman" w:cstheme="minorHAnsi"/>
                <w:color w:val="000000"/>
                <w:sz w:val="20"/>
                <w:szCs w:val="20"/>
              </w:rPr>
              <w:t xml:space="preserve">Procurement </w:t>
            </w:r>
            <w:r w:rsidRPr="00867E29">
              <w:rPr>
                <w:rFonts w:eastAsia="Times New Roman" w:cstheme="minorHAnsi"/>
                <w:color w:val="000000"/>
                <w:sz w:val="20"/>
                <w:szCs w:val="20"/>
              </w:rPr>
              <w:t>Expected Annual Production (Actual)</w:t>
            </w:r>
          </w:p>
        </w:tc>
        <w:tc>
          <w:tcPr>
            <w:tcW w:w="1330" w:type="dxa"/>
            <w:tcBorders>
              <w:top w:val="nil"/>
              <w:left w:val="nil"/>
              <w:bottom w:val="single" w:sz="4" w:space="0" w:color="auto"/>
              <w:right w:val="single" w:sz="4" w:space="0" w:color="auto"/>
            </w:tcBorders>
            <w:shd w:val="clear" w:color="auto" w:fill="auto"/>
            <w:noWrap/>
            <w:vAlign w:val="bottom"/>
            <w:hideMark/>
          </w:tcPr>
          <w:p w14:paraId="4A6F598E" w14:textId="77777777" w:rsidR="00E03DE4" w:rsidRPr="00867E29" w:rsidRDefault="00E03DE4" w:rsidP="00E03DE4">
            <w:pPr>
              <w:spacing w:after="0" w:line="240" w:lineRule="auto"/>
              <w:jc w:val="right"/>
              <w:rPr>
                <w:rFonts w:eastAsia="Times New Roman" w:cstheme="minorHAnsi"/>
                <w:color w:val="000000"/>
                <w:sz w:val="20"/>
                <w:szCs w:val="20"/>
              </w:rPr>
            </w:pPr>
            <w:r w:rsidRPr="00867E29">
              <w:rPr>
                <w:rFonts w:eastAsia="Times New Roman" w:cstheme="minorHAnsi"/>
                <w:color w:val="000000"/>
                <w:sz w:val="20"/>
                <w:szCs w:val="20"/>
              </w:rPr>
              <w:t>45,047,716</w:t>
            </w:r>
          </w:p>
        </w:tc>
        <w:tc>
          <w:tcPr>
            <w:tcW w:w="1330" w:type="dxa"/>
            <w:tcBorders>
              <w:top w:val="nil"/>
              <w:left w:val="nil"/>
              <w:bottom w:val="single" w:sz="4" w:space="0" w:color="auto"/>
              <w:right w:val="single" w:sz="4" w:space="0" w:color="auto"/>
            </w:tcBorders>
            <w:shd w:val="clear" w:color="auto" w:fill="auto"/>
            <w:noWrap/>
            <w:vAlign w:val="bottom"/>
            <w:hideMark/>
          </w:tcPr>
          <w:p w14:paraId="2CCB7155" w14:textId="77777777" w:rsidR="00E03DE4" w:rsidRPr="00867E29" w:rsidRDefault="00E03DE4" w:rsidP="00E03DE4">
            <w:pPr>
              <w:spacing w:after="0" w:line="240" w:lineRule="auto"/>
              <w:jc w:val="right"/>
              <w:rPr>
                <w:rFonts w:eastAsia="Times New Roman" w:cstheme="minorHAnsi"/>
                <w:color w:val="000000"/>
                <w:sz w:val="20"/>
                <w:szCs w:val="20"/>
              </w:rPr>
            </w:pPr>
            <w:r w:rsidRPr="00867E29">
              <w:rPr>
                <w:rFonts w:eastAsia="Times New Roman" w:cstheme="minorHAnsi"/>
                <w:color w:val="000000"/>
                <w:sz w:val="20"/>
                <w:szCs w:val="20"/>
              </w:rPr>
              <w:t>40,471,000</w:t>
            </w:r>
          </w:p>
        </w:tc>
        <w:tc>
          <w:tcPr>
            <w:tcW w:w="1330" w:type="dxa"/>
            <w:tcBorders>
              <w:top w:val="nil"/>
              <w:left w:val="nil"/>
              <w:bottom w:val="single" w:sz="4" w:space="0" w:color="auto"/>
              <w:right w:val="single" w:sz="4" w:space="0" w:color="auto"/>
            </w:tcBorders>
            <w:shd w:val="clear" w:color="auto" w:fill="auto"/>
            <w:noWrap/>
            <w:vAlign w:val="bottom"/>
            <w:hideMark/>
          </w:tcPr>
          <w:p w14:paraId="13C78E11" w14:textId="77777777" w:rsidR="00E03DE4" w:rsidRPr="00867E29" w:rsidRDefault="00E03DE4" w:rsidP="00E03DE4">
            <w:pPr>
              <w:spacing w:after="0" w:line="240" w:lineRule="auto"/>
              <w:jc w:val="right"/>
              <w:rPr>
                <w:rFonts w:eastAsia="Times New Roman" w:cstheme="minorHAnsi"/>
                <w:color w:val="000000"/>
                <w:sz w:val="20"/>
                <w:szCs w:val="20"/>
              </w:rPr>
            </w:pPr>
            <w:r w:rsidRPr="00867E29">
              <w:rPr>
                <w:rFonts w:eastAsia="Times New Roman" w:cstheme="minorHAnsi"/>
                <w:color w:val="000000"/>
                <w:sz w:val="20"/>
                <w:szCs w:val="20"/>
              </w:rPr>
              <w:t>85,518,716</w:t>
            </w:r>
          </w:p>
        </w:tc>
        <w:tc>
          <w:tcPr>
            <w:tcW w:w="1539" w:type="dxa"/>
            <w:tcBorders>
              <w:top w:val="nil"/>
              <w:left w:val="nil"/>
              <w:bottom w:val="single" w:sz="4" w:space="0" w:color="auto"/>
              <w:right w:val="single" w:sz="4" w:space="0" w:color="auto"/>
            </w:tcBorders>
            <w:shd w:val="clear" w:color="auto" w:fill="auto"/>
            <w:noWrap/>
            <w:vAlign w:val="bottom"/>
            <w:hideMark/>
          </w:tcPr>
          <w:p w14:paraId="69A1E0E3" w14:textId="77777777" w:rsidR="00E03DE4" w:rsidRPr="00867E29" w:rsidRDefault="00E03DE4" w:rsidP="00E03DE4">
            <w:pPr>
              <w:spacing w:after="0" w:line="240" w:lineRule="auto"/>
              <w:rPr>
                <w:rFonts w:eastAsia="Times New Roman" w:cstheme="minorHAnsi"/>
                <w:color w:val="000000"/>
                <w:sz w:val="20"/>
                <w:szCs w:val="20"/>
              </w:rPr>
            </w:pPr>
            <w:r w:rsidRPr="00867E29">
              <w:rPr>
                <w:rFonts w:eastAsia="Times New Roman" w:cstheme="minorHAnsi"/>
                <w:color w:val="000000"/>
                <w:sz w:val="20"/>
                <w:szCs w:val="20"/>
              </w:rPr>
              <w:t xml:space="preserve">                        8,908 </w:t>
            </w:r>
          </w:p>
        </w:tc>
        <w:tc>
          <w:tcPr>
            <w:tcW w:w="1558" w:type="dxa"/>
            <w:tcBorders>
              <w:top w:val="nil"/>
              <w:left w:val="nil"/>
              <w:bottom w:val="single" w:sz="4" w:space="0" w:color="auto"/>
              <w:right w:val="single" w:sz="4" w:space="0" w:color="auto"/>
            </w:tcBorders>
            <w:shd w:val="clear" w:color="auto" w:fill="auto"/>
            <w:noWrap/>
            <w:vAlign w:val="bottom"/>
            <w:hideMark/>
          </w:tcPr>
          <w:p w14:paraId="023D65F2" w14:textId="4DFA20C6" w:rsidR="00E03DE4" w:rsidRPr="00867E29" w:rsidRDefault="00E03DE4" w:rsidP="00867E29">
            <w:pPr>
              <w:spacing w:after="0" w:line="240" w:lineRule="auto"/>
              <w:jc w:val="center"/>
              <w:rPr>
                <w:rFonts w:eastAsia="Times New Roman" w:cstheme="minorHAnsi"/>
                <w:color w:val="000000"/>
                <w:sz w:val="20"/>
                <w:szCs w:val="20"/>
              </w:rPr>
            </w:pPr>
            <w:r w:rsidRPr="00867E29">
              <w:rPr>
                <w:rFonts w:eastAsia="Times New Roman" w:cstheme="minorHAnsi"/>
                <w:color w:val="000000"/>
                <w:sz w:val="20"/>
                <w:szCs w:val="20"/>
              </w:rPr>
              <w:t>$2,137,968</w:t>
            </w:r>
          </w:p>
        </w:tc>
      </w:tr>
      <w:tr w:rsidR="001B3F31" w:rsidRPr="00E03DE4" w14:paraId="009DBD6F" w14:textId="77777777" w:rsidTr="005F39D4">
        <w:trPr>
          <w:trHeight w:val="255"/>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14:paraId="309CDE48" w14:textId="2A931112" w:rsidR="001B3F31" w:rsidRPr="00867E29" w:rsidRDefault="001B3F31" w:rsidP="001B3F31">
            <w:pPr>
              <w:spacing w:after="0" w:line="240" w:lineRule="auto"/>
              <w:rPr>
                <w:rFonts w:eastAsia="Times New Roman" w:cstheme="minorHAnsi"/>
                <w:color w:val="000000"/>
                <w:sz w:val="20"/>
                <w:szCs w:val="20"/>
              </w:rPr>
            </w:pPr>
            <w:r w:rsidRPr="00867E29">
              <w:rPr>
                <w:rFonts w:eastAsia="Times New Roman" w:cstheme="minorHAnsi"/>
                <w:color w:val="000000"/>
                <w:sz w:val="20"/>
                <w:szCs w:val="20"/>
              </w:rPr>
              <w:t xml:space="preserve">Year 4-6 </w:t>
            </w:r>
            <w:r w:rsidR="00BB69B2" w:rsidRPr="00867E29">
              <w:rPr>
                <w:rFonts w:eastAsia="Times New Roman" w:cstheme="minorHAnsi"/>
                <w:color w:val="000000"/>
                <w:sz w:val="20"/>
                <w:szCs w:val="20"/>
              </w:rPr>
              <w:t xml:space="preserve">Procurements </w:t>
            </w:r>
            <w:r w:rsidRPr="00867E29">
              <w:rPr>
                <w:rFonts w:eastAsia="Times New Roman" w:cstheme="minorHAnsi"/>
                <w:color w:val="000000"/>
                <w:sz w:val="20"/>
                <w:szCs w:val="20"/>
              </w:rPr>
              <w:t>Expected Annual Production (Estimated)</w:t>
            </w:r>
            <w:r w:rsidR="00867E29">
              <w:rPr>
                <w:rStyle w:val="FootnoteReference"/>
                <w:rFonts w:eastAsia="Times New Roman" w:cstheme="minorHAnsi"/>
                <w:color w:val="000000"/>
                <w:sz w:val="20"/>
                <w:szCs w:val="20"/>
              </w:rPr>
              <w:footnoteReference w:id="5"/>
            </w:r>
          </w:p>
        </w:tc>
        <w:tc>
          <w:tcPr>
            <w:tcW w:w="1330" w:type="dxa"/>
            <w:tcBorders>
              <w:top w:val="nil"/>
              <w:left w:val="nil"/>
              <w:bottom w:val="single" w:sz="4" w:space="0" w:color="auto"/>
              <w:right w:val="single" w:sz="4" w:space="0" w:color="auto"/>
            </w:tcBorders>
            <w:shd w:val="clear" w:color="auto" w:fill="auto"/>
            <w:noWrap/>
            <w:vAlign w:val="bottom"/>
            <w:hideMark/>
          </w:tcPr>
          <w:p w14:paraId="0D083562" w14:textId="030B354C" w:rsidR="001B3F31" w:rsidRPr="00867E29" w:rsidRDefault="001B3F31" w:rsidP="001B3F31">
            <w:pPr>
              <w:spacing w:after="0" w:line="240" w:lineRule="auto"/>
              <w:jc w:val="right"/>
              <w:rPr>
                <w:rFonts w:eastAsia="Times New Roman" w:cstheme="minorHAnsi"/>
                <w:color w:val="000000"/>
                <w:sz w:val="20"/>
                <w:szCs w:val="20"/>
              </w:rPr>
            </w:pPr>
            <w:r w:rsidRPr="00867E29">
              <w:rPr>
                <w:rFonts w:cstheme="minorHAnsi"/>
                <w:color w:val="000000"/>
                <w:sz w:val="20"/>
                <w:szCs w:val="20"/>
              </w:rPr>
              <w:t>183,960,000</w:t>
            </w:r>
          </w:p>
        </w:tc>
        <w:tc>
          <w:tcPr>
            <w:tcW w:w="1330" w:type="dxa"/>
            <w:tcBorders>
              <w:top w:val="nil"/>
              <w:left w:val="nil"/>
              <w:bottom w:val="single" w:sz="4" w:space="0" w:color="auto"/>
              <w:right w:val="single" w:sz="4" w:space="0" w:color="auto"/>
            </w:tcBorders>
            <w:shd w:val="clear" w:color="auto" w:fill="auto"/>
            <w:noWrap/>
            <w:vAlign w:val="bottom"/>
            <w:hideMark/>
          </w:tcPr>
          <w:p w14:paraId="0EF4B4E7" w14:textId="3A535F3D" w:rsidR="001B3F31" w:rsidRPr="00867E29" w:rsidRDefault="001B3F31" w:rsidP="001B3F31">
            <w:pPr>
              <w:spacing w:after="0" w:line="240" w:lineRule="auto"/>
              <w:jc w:val="right"/>
              <w:rPr>
                <w:rFonts w:eastAsia="Times New Roman" w:cstheme="minorHAnsi"/>
                <w:color w:val="000000"/>
                <w:sz w:val="20"/>
                <w:szCs w:val="20"/>
              </w:rPr>
            </w:pPr>
            <w:r w:rsidRPr="00867E29">
              <w:rPr>
                <w:rFonts w:cstheme="minorHAnsi"/>
                <w:color w:val="000000"/>
                <w:sz w:val="20"/>
                <w:szCs w:val="20"/>
              </w:rPr>
              <w:t>45,990,000</w:t>
            </w:r>
          </w:p>
        </w:tc>
        <w:tc>
          <w:tcPr>
            <w:tcW w:w="1330" w:type="dxa"/>
            <w:tcBorders>
              <w:top w:val="nil"/>
              <w:left w:val="nil"/>
              <w:bottom w:val="single" w:sz="4" w:space="0" w:color="auto"/>
              <w:right w:val="single" w:sz="4" w:space="0" w:color="auto"/>
            </w:tcBorders>
            <w:shd w:val="clear" w:color="auto" w:fill="auto"/>
            <w:noWrap/>
            <w:vAlign w:val="bottom"/>
            <w:hideMark/>
          </w:tcPr>
          <w:p w14:paraId="5CCCB7E7" w14:textId="6CAD6D52" w:rsidR="001B3F31" w:rsidRPr="00867E29" w:rsidRDefault="001B3F31" w:rsidP="001B3F31">
            <w:pPr>
              <w:spacing w:after="0" w:line="240" w:lineRule="auto"/>
              <w:jc w:val="right"/>
              <w:rPr>
                <w:rFonts w:eastAsia="Times New Roman" w:cstheme="minorHAnsi"/>
                <w:color w:val="000000"/>
                <w:sz w:val="20"/>
                <w:szCs w:val="20"/>
              </w:rPr>
            </w:pPr>
            <w:r w:rsidRPr="00867E29">
              <w:rPr>
                <w:rFonts w:cstheme="minorHAnsi"/>
                <w:color w:val="000000"/>
                <w:sz w:val="20"/>
                <w:szCs w:val="20"/>
              </w:rPr>
              <w:t>229,950,000</w:t>
            </w:r>
          </w:p>
        </w:tc>
        <w:tc>
          <w:tcPr>
            <w:tcW w:w="1539" w:type="dxa"/>
            <w:tcBorders>
              <w:top w:val="nil"/>
              <w:left w:val="nil"/>
              <w:bottom w:val="single" w:sz="4" w:space="0" w:color="auto"/>
              <w:right w:val="single" w:sz="4" w:space="0" w:color="auto"/>
            </w:tcBorders>
            <w:shd w:val="clear" w:color="auto" w:fill="auto"/>
            <w:noWrap/>
            <w:vAlign w:val="bottom"/>
            <w:hideMark/>
          </w:tcPr>
          <w:p w14:paraId="34B80108" w14:textId="61AE808B" w:rsidR="001B3F31" w:rsidRPr="00867E29" w:rsidRDefault="001B3F31" w:rsidP="001B3F31">
            <w:pPr>
              <w:spacing w:after="0" w:line="240" w:lineRule="auto"/>
              <w:rPr>
                <w:rFonts w:eastAsia="Times New Roman" w:cstheme="minorHAnsi"/>
                <w:color w:val="000000"/>
                <w:sz w:val="20"/>
                <w:szCs w:val="20"/>
              </w:rPr>
            </w:pPr>
            <w:r w:rsidRPr="00867E29">
              <w:rPr>
                <w:rFonts w:cstheme="minorHAnsi"/>
                <w:color w:val="000000"/>
                <w:sz w:val="20"/>
                <w:szCs w:val="20"/>
              </w:rPr>
              <w:t xml:space="preserve">                      23,953 </w:t>
            </w:r>
          </w:p>
        </w:tc>
        <w:tc>
          <w:tcPr>
            <w:tcW w:w="1558" w:type="dxa"/>
            <w:tcBorders>
              <w:top w:val="nil"/>
              <w:left w:val="nil"/>
              <w:bottom w:val="single" w:sz="4" w:space="0" w:color="auto"/>
              <w:right w:val="single" w:sz="4" w:space="0" w:color="auto"/>
            </w:tcBorders>
            <w:shd w:val="clear" w:color="auto" w:fill="auto"/>
            <w:noWrap/>
            <w:vAlign w:val="bottom"/>
            <w:hideMark/>
          </w:tcPr>
          <w:p w14:paraId="120C657A" w14:textId="0D691C37" w:rsidR="001B3F31" w:rsidRPr="00867E29" w:rsidRDefault="001B3F31" w:rsidP="00867E29">
            <w:pPr>
              <w:spacing w:after="0" w:line="240" w:lineRule="auto"/>
              <w:jc w:val="center"/>
              <w:rPr>
                <w:rFonts w:eastAsia="Times New Roman" w:cstheme="minorHAnsi"/>
                <w:color w:val="000000"/>
                <w:sz w:val="20"/>
                <w:szCs w:val="20"/>
              </w:rPr>
            </w:pPr>
            <w:r w:rsidRPr="00867E29">
              <w:rPr>
                <w:rFonts w:cstheme="minorHAnsi"/>
                <w:color w:val="000000"/>
                <w:sz w:val="20"/>
                <w:szCs w:val="20"/>
              </w:rPr>
              <w:t>$5,748,750</w:t>
            </w:r>
          </w:p>
        </w:tc>
      </w:tr>
    </w:tbl>
    <w:p w14:paraId="245DBED4" w14:textId="77777777" w:rsidR="00E03DE4" w:rsidRDefault="00E03DE4" w:rsidP="0037296E">
      <w:pPr>
        <w:pStyle w:val="ListParagraph"/>
        <w:spacing w:after="0"/>
        <w:ind w:left="0"/>
        <w:rPr>
          <w:rFonts w:eastAsia="Times New Roman" w:cs="Arial"/>
        </w:rPr>
      </w:pPr>
    </w:p>
    <w:p w14:paraId="0D3BA354" w14:textId="68B21CC6" w:rsidR="0037296E" w:rsidRDefault="00CC2D1E" w:rsidP="0037296E">
      <w:pPr>
        <w:pStyle w:val="ListParagraph"/>
        <w:spacing w:after="0"/>
        <w:ind w:left="0"/>
        <w:rPr>
          <w:rFonts w:eastAsia="Times New Roman" w:cs="Arial"/>
        </w:rPr>
      </w:pPr>
      <w:r>
        <w:rPr>
          <w:rFonts w:eastAsia="Times New Roman" w:cs="Arial"/>
        </w:rPr>
        <w:t xml:space="preserve">Depending upon the make-up of the </w:t>
      </w:r>
      <w:r w:rsidR="008E32B2">
        <w:rPr>
          <w:rFonts w:eastAsia="Times New Roman" w:cs="Arial"/>
        </w:rPr>
        <w:t xml:space="preserve">clean energy </w:t>
      </w:r>
      <w:r>
        <w:rPr>
          <w:rFonts w:eastAsia="Times New Roman" w:cs="Arial"/>
        </w:rPr>
        <w:t>projects selected each year</w:t>
      </w:r>
      <w:r w:rsidR="008E32B2">
        <w:rPr>
          <w:rFonts w:eastAsia="Times New Roman" w:cs="Arial"/>
        </w:rPr>
        <w:t xml:space="preserve"> (e.g., </w:t>
      </w:r>
      <w:r w:rsidR="00C82634">
        <w:rPr>
          <w:rFonts w:eastAsia="Times New Roman" w:cs="Arial"/>
        </w:rPr>
        <w:t xml:space="preserve">combination of </w:t>
      </w:r>
      <w:r w:rsidR="008E32B2">
        <w:rPr>
          <w:rFonts w:eastAsia="Times New Roman" w:cs="Arial"/>
        </w:rPr>
        <w:t xml:space="preserve">solar PV </w:t>
      </w:r>
      <w:r w:rsidR="00C82634">
        <w:rPr>
          <w:rFonts w:eastAsia="Times New Roman" w:cs="Arial"/>
        </w:rPr>
        <w:t xml:space="preserve">and </w:t>
      </w:r>
      <w:r w:rsidR="008E32B2">
        <w:rPr>
          <w:rFonts w:eastAsia="Times New Roman" w:cs="Arial"/>
        </w:rPr>
        <w:t>fuel cell</w:t>
      </w:r>
      <w:r w:rsidR="00C82634">
        <w:rPr>
          <w:rFonts w:eastAsia="Times New Roman" w:cs="Arial"/>
        </w:rPr>
        <w:t>s</w:t>
      </w:r>
      <w:r w:rsidR="008E32B2">
        <w:rPr>
          <w:rFonts w:eastAsia="Times New Roman" w:cs="Arial"/>
        </w:rPr>
        <w:t>)</w:t>
      </w:r>
      <w:r>
        <w:rPr>
          <w:rFonts w:eastAsia="Times New Roman" w:cs="Arial"/>
        </w:rPr>
        <w:t xml:space="preserve">, there could be between </w:t>
      </w:r>
      <w:r w:rsidR="00867E29">
        <w:rPr>
          <w:rFonts w:eastAsia="Times New Roman" w:cs="Arial"/>
        </w:rPr>
        <w:t>5,000-24,000</w:t>
      </w:r>
      <w:r>
        <w:rPr>
          <w:rFonts w:eastAsia="Times New Roman" w:cs="Arial"/>
        </w:rPr>
        <w:t xml:space="preserve"> residential Subscribers receiving between $1.</w:t>
      </w:r>
      <w:r w:rsidR="00867E29">
        <w:rPr>
          <w:rFonts w:eastAsia="Times New Roman" w:cs="Arial"/>
        </w:rPr>
        <w:t>2</w:t>
      </w:r>
      <w:r>
        <w:rPr>
          <w:rFonts w:eastAsia="Times New Roman" w:cs="Arial"/>
        </w:rPr>
        <w:t xml:space="preserve"> to $</w:t>
      </w:r>
      <w:r w:rsidR="00867E29">
        <w:rPr>
          <w:rFonts w:eastAsia="Times New Roman" w:cs="Arial"/>
        </w:rPr>
        <w:t>5.8</w:t>
      </w:r>
      <w:r>
        <w:rPr>
          <w:rFonts w:eastAsia="Times New Roman" w:cs="Arial"/>
        </w:rPr>
        <w:t xml:space="preserve"> MM in annual </w:t>
      </w:r>
      <w:r w:rsidR="00C82634">
        <w:rPr>
          <w:rFonts w:eastAsia="Times New Roman" w:cs="Arial"/>
        </w:rPr>
        <w:t>S</w:t>
      </w:r>
      <w:r>
        <w:rPr>
          <w:rFonts w:eastAsia="Times New Roman" w:cs="Arial"/>
        </w:rPr>
        <w:t xml:space="preserve">ubscriber </w:t>
      </w:r>
      <w:r w:rsidR="00C82634">
        <w:rPr>
          <w:rFonts w:eastAsia="Times New Roman" w:cs="Arial"/>
        </w:rPr>
        <w:t>S</w:t>
      </w:r>
      <w:r>
        <w:rPr>
          <w:rFonts w:eastAsia="Times New Roman" w:cs="Arial"/>
        </w:rPr>
        <w:t>avings – or between $</w:t>
      </w:r>
      <w:r w:rsidR="00867E29">
        <w:rPr>
          <w:rFonts w:eastAsia="Times New Roman" w:cs="Arial"/>
        </w:rPr>
        <w:t>24</w:t>
      </w:r>
      <w:r>
        <w:rPr>
          <w:rFonts w:eastAsia="Times New Roman" w:cs="Arial"/>
        </w:rPr>
        <w:t xml:space="preserve"> to $1</w:t>
      </w:r>
      <w:r w:rsidR="00867E29">
        <w:rPr>
          <w:rFonts w:eastAsia="Times New Roman" w:cs="Arial"/>
        </w:rPr>
        <w:t>14</w:t>
      </w:r>
      <w:r>
        <w:rPr>
          <w:rFonts w:eastAsia="Times New Roman" w:cs="Arial"/>
        </w:rPr>
        <w:t xml:space="preserve"> MM </w:t>
      </w:r>
      <w:r w:rsidR="00C82634">
        <w:rPr>
          <w:rFonts w:eastAsia="Times New Roman" w:cs="Arial"/>
        </w:rPr>
        <w:t xml:space="preserve">of Subscriber Savings </w:t>
      </w:r>
      <w:r>
        <w:rPr>
          <w:rFonts w:eastAsia="Times New Roman" w:cs="Arial"/>
        </w:rPr>
        <w:t xml:space="preserve">over 20-years. </w:t>
      </w:r>
    </w:p>
    <w:p w14:paraId="54B34872" w14:textId="078E56FA" w:rsidR="008E32B2" w:rsidRDefault="008E32B2" w:rsidP="0037296E">
      <w:pPr>
        <w:pStyle w:val="ListParagraph"/>
        <w:spacing w:after="0"/>
        <w:ind w:left="0"/>
        <w:rPr>
          <w:rFonts w:eastAsia="Times New Roman" w:cs="Arial"/>
        </w:rPr>
      </w:pPr>
    </w:p>
    <w:p w14:paraId="7AAB7C99" w14:textId="71696E42" w:rsidR="008E32B2" w:rsidRPr="008E32B2" w:rsidRDefault="008E32B2" w:rsidP="0037296E">
      <w:pPr>
        <w:pStyle w:val="ListParagraph"/>
        <w:spacing w:after="0"/>
        <w:ind w:left="0"/>
        <w:rPr>
          <w:rFonts w:eastAsia="Times New Roman" w:cs="Arial"/>
          <w:i/>
          <w:iCs/>
        </w:rPr>
      </w:pPr>
      <w:r>
        <w:rPr>
          <w:rFonts w:eastAsia="Times New Roman" w:cs="Arial"/>
          <w:i/>
          <w:iCs/>
        </w:rPr>
        <w:t>Market Potential for Energy Efficiency</w:t>
      </w:r>
    </w:p>
    <w:p w14:paraId="7F1EDEF5" w14:textId="1406BBD0" w:rsidR="008E32B2" w:rsidRDefault="008E32B2" w:rsidP="0037296E">
      <w:pPr>
        <w:pStyle w:val="ListParagraph"/>
        <w:spacing w:after="0"/>
        <w:ind w:left="0"/>
        <w:rPr>
          <w:rFonts w:eastAsia="Times New Roman" w:cs="Arial"/>
        </w:rPr>
      </w:pPr>
      <w:r>
        <w:rPr>
          <w:rFonts w:eastAsia="Times New Roman" w:cs="Arial"/>
        </w:rPr>
        <w:t>Over six (6) years, 2</w:t>
      </w:r>
      <w:r w:rsidR="00740DD8">
        <w:rPr>
          <w:rFonts w:eastAsia="Times New Roman" w:cs="Arial"/>
        </w:rPr>
        <w:t>2</w:t>
      </w:r>
      <w:r>
        <w:rPr>
          <w:rFonts w:eastAsia="Times New Roman" w:cs="Arial"/>
        </w:rPr>
        <w:t xml:space="preserve">5 MW of clean energy will be deployed </w:t>
      </w:r>
      <w:r w:rsidR="00C82634">
        <w:rPr>
          <w:rFonts w:eastAsia="Times New Roman" w:cs="Arial"/>
        </w:rPr>
        <w:t xml:space="preserve">as a result of the </w:t>
      </w:r>
      <w:r>
        <w:rPr>
          <w:rFonts w:eastAsia="Times New Roman" w:cs="Arial"/>
        </w:rPr>
        <w:t>SCEF</w:t>
      </w:r>
      <w:r w:rsidR="00C82634">
        <w:rPr>
          <w:rFonts w:eastAsia="Times New Roman" w:cs="Arial"/>
        </w:rPr>
        <w:t xml:space="preserve"> policy</w:t>
      </w:r>
      <w:r>
        <w:rPr>
          <w:rFonts w:eastAsia="Times New Roman" w:cs="Arial"/>
        </w:rPr>
        <w:t xml:space="preserve">.  If SCEF subscribers were provided with an opportunity to direct their Subscriber Savings to the </w:t>
      </w:r>
      <w:r>
        <w:rPr>
          <w:rFonts w:eastAsia="Times New Roman" w:cs="Arial"/>
        </w:rPr>
        <w:lastRenderedPageBreak/>
        <w:t>meter</w:t>
      </w:r>
      <w:r w:rsidR="00C82634">
        <w:rPr>
          <w:rFonts w:eastAsia="Times New Roman" w:cs="Arial"/>
        </w:rPr>
        <w:t xml:space="preserve"> on their property</w:t>
      </w:r>
      <w:r>
        <w:rPr>
          <w:rFonts w:eastAsia="Times New Roman" w:cs="Arial"/>
        </w:rPr>
        <w:t>, for the purposes of supporting the weatherization of their home, then depending upon the number of Subscribers who elect to participate, there is</w:t>
      </w:r>
      <w:r w:rsidR="00C82634">
        <w:rPr>
          <w:rFonts w:eastAsia="Times New Roman" w:cs="Arial"/>
        </w:rPr>
        <w:t xml:space="preserve"> potentially</w:t>
      </w:r>
      <w:r>
        <w:rPr>
          <w:rFonts w:eastAsia="Times New Roman" w:cs="Arial"/>
        </w:rPr>
        <w:t xml:space="preserve"> a substantial amount of additional resources for energy efficiency – see Table 3.</w:t>
      </w:r>
    </w:p>
    <w:p w14:paraId="22DBE013" w14:textId="682FF704" w:rsidR="00C82634" w:rsidRDefault="00C82634" w:rsidP="0037296E">
      <w:pPr>
        <w:pStyle w:val="ListParagraph"/>
        <w:spacing w:after="0"/>
        <w:ind w:left="0"/>
        <w:rPr>
          <w:rFonts w:eastAsia="Times New Roman" w:cs="Arial"/>
        </w:rPr>
      </w:pPr>
    </w:p>
    <w:p w14:paraId="7966C76F" w14:textId="393DB985" w:rsidR="00C82634" w:rsidRPr="00C82634" w:rsidRDefault="00C82634" w:rsidP="00C82634">
      <w:pPr>
        <w:pStyle w:val="Caption"/>
        <w:keepNext/>
        <w:rPr>
          <w:b/>
          <w:bCs/>
          <w:i w:val="0"/>
          <w:iCs w:val="0"/>
          <w:color w:val="auto"/>
        </w:rPr>
      </w:pPr>
      <w:r w:rsidRPr="00C82634">
        <w:rPr>
          <w:b/>
          <w:bCs/>
          <w:i w:val="0"/>
          <w:iCs w:val="0"/>
          <w:color w:val="auto"/>
        </w:rPr>
        <w:t xml:space="preserve">Table </w:t>
      </w:r>
      <w:r w:rsidRPr="00C82634">
        <w:rPr>
          <w:b/>
          <w:bCs/>
          <w:i w:val="0"/>
          <w:iCs w:val="0"/>
          <w:color w:val="auto"/>
        </w:rPr>
        <w:fldChar w:fldCharType="begin"/>
      </w:r>
      <w:r w:rsidRPr="00C82634">
        <w:rPr>
          <w:b/>
          <w:bCs/>
          <w:i w:val="0"/>
          <w:iCs w:val="0"/>
          <w:color w:val="auto"/>
        </w:rPr>
        <w:instrText xml:space="preserve"> SEQ Table \* ARABIC </w:instrText>
      </w:r>
      <w:r w:rsidRPr="00C82634">
        <w:rPr>
          <w:b/>
          <w:bCs/>
          <w:i w:val="0"/>
          <w:iCs w:val="0"/>
          <w:color w:val="auto"/>
        </w:rPr>
        <w:fldChar w:fldCharType="separate"/>
      </w:r>
      <w:r w:rsidR="006820E4">
        <w:rPr>
          <w:b/>
          <w:bCs/>
          <w:i w:val="0"/>
          <w:iCs w:val="0"/>
          <w:noProof/>
          <w:color w:val="auto"/>
        </w:rPr>
        <w:t>3</w:t>
      </w:r>
      <w:r w:rsidRPr="00C82634">
        <w:rPr>
          <w:b/>
          <w:bCs/>
          <w:i w:val="0"/>
          <w:iCs w:val="0"/>
          <w:color w:val="auto"/>
        </w:rPr>
        <w:fldChar w:fldCharType="end"/>
      </w:r>
      <w:r w:rsidRPr="00C82634">
        <w:rPr>
          <w:b/>
          <w:bCs/>
          <w:i w:val="0"/>
          <w:iCs w:val="0"/>
          <w:color w:val="auto"/>
        </w:rPr>
        <w:t xml:space="preserve">. Estimated Annual Subscriber Savings by </w:t>
      </w:r>
      <w:r w:rsidR="00280F20">
        <w:rPr>
          <w:b/>
          <w:bCs/>
          <w:i w:val="0"/>
          <w:iCs w:val="0"/>
          <w:color w:val="auto"/>
        </w:rPr>
        <w:t xml:space="preserve">Technology and </w:t>
      </w:r>
      <w:r w:rsidRPr="00C82634">
        <w:rPr>
          <w:b/>
          <w:bCs/>
          <w:i w:val="0"/>
          <w:iCs w:val="0"/>
          <w:color w:val="auto"/>
        </w:rPr>
        <w:t>Percent of Participation in the Concept</w:t>
      </w:r>
    </w:p>
    <w:tbl>
      <w:tblPr>
        <w:tblW w:w="6840" w:type="dxa"/>
        <w:jc w:val="center"/>
        <w:tblLook w:val="04A0" w:firstRow="1" w:lastRow="0" w:firstColumn="1" w:lastColumn="0" w:noHBand="0" w:noVBand="1"/>
      </w:tblPr>
      <w:tblGrid>
        <w:gridCol w:w="1734"/>
        <w:gridCol w:w="1957"/>
        <w:gridCol w:w="1445"/>
        <w:gridCol w:w="1704"/>
      </w:tblGrid>
      <w:tr w:rsidR="00694F54" w:rsidRPr="00694F54" w14:paraId="1ED134E6" w14:textId="77777777" w:rsidTr="005F39D4">
        <w:trPr>
          <w:trHeight w:val="1020"/>
          <w:jc w:val="center"/>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106E2F" w14:textId="77777777" w:rsidR="00694F54" w:rsidRPr="005F39D4" w:rsidRDefault="00694F54" w:rsidP="00694F54">
            <w:pPr>
              <w:spacing w:after="0" w:line="240" w:lineRule="auto"/>
              <w:jc w:val="center"/>
              <w:rPr>
                <w:rFonts w:ascii="Arial" w:eastAsia="Times New Roman" w:hAnsi="Arial" w:cs="Arial"/>
                <w:b/>
                <w:bCs/>
                <w:color w:val="000000"/>
                <w:sz w:val="20"/>
                <w:szCs w:val="20"/>
              </w:rPr>
            </w:pPr>
            <w:r w:rsidRPr="005F39D4">
              <w:rPr>
                <w:rFonts w:ascii="Arial" w:eastAsia="Times New Roman" w:hAnsi="Arial" w:cs="Arial"/>
                <w:b/>
                <w:bCs/>
                <w:color w:val="000000"/>
                <w:sz w:val="20"/>
                <w:szCs w:val="20"/>
              </w:rPr>
              <w:t>Percent Participation in the Concept</w:t>
            </w:r>
          </w:p>
        </w:tc>
        <w:tc>
          <w:tcPr>
            <w:tcW w:w="1957" w:type="dxa"/>
            <w:tcBorders>
              <w:top w:val="single" w:sz="8" w:space="0" w:color="auto"/>
              <w:left w:val="nil"/>
              <w:bottom w:val="nil"/>
              <w:right w:val="single" w:sz="8" w:space="0" w:color="auto"/>
            </w:tcBorders>
            <w:shd w:val="clear" w:color="auto" w:fill="auto"/>
            <w:vAlign w:val="center"/>
            <w:hideMark/>
          </w:tcPr>
          <w:p w14:paraId="625FB872" w14:textId="77777777" w:rsidR="00694F54" w:rsidRPr="005F39D4" w:rsidRDefault="00694F54" w:rsidP="00694F54">
            <w:pPr>
              <w:spacing w:after="0" w:line="240" w:lineRule="auto"/>
              <w:jc w:val="center"/>
              <w:rPr>
                <w:rFonts w:ascii="Arial" w:eastAsia="Times New Roman" w:hAnsi="Arial" w:cs="Arial"/>
                <w:b/>
                <w:bCs/>
                <w:color w:val="000000"/>
                <w:sz w:val="20"/>
                <w:szCs w:val="20"/>
              </w:rPr>
            </w:pPr>
            <w:r w:rsidRPr="005F39D4">
              <w:rPr>
                <w:rFonts w:ascii="Arial" w:eastAsia="Times New Roman" w:hAnsi="Arial" w:cs="Arial"/>
                <w:b/>
                <w:bCs/>
                <w:color w:val="000000"/>
                <w:sz w:val="20"/>
                <w:szCs w:val="20"/>
              </w:rPr>
              <w:t>Estimated Annual Clean Energy Production</w:t>
            </w:r>
          </w:p>
        </w:tc>
        <w:tc>
          <w:tcPr>
            <w:tcW w:w="14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33D02C" w14:textId="34DD4A7C" w:rsidR="00694F54" w:rsidRPr="005F39D4" w:rsidRDefault="00694F54" w:rsidP="00694F54">
            <w:pPr>
              <w:spacing w:after="0" w:line="240" w:lineRule="auto"/>
              <w:jc w:val="center"/>
              <w:rPr>
                <w:rFonts w:ascii="Arial" w:eastAsia="Times New Roman" w:hAnsi="Arial" w:cs="Arial"/>
                <w:b/>
                <w:bCs/>
                <w:color w:val="000000"/>
                <w:sz w:val="20"/>
                <w:szCs w:val="20"/>
              </w:rPr>
            </w:pPr>
            <w:r w:rsidRPr="005F39D4">
              <w:rPr>
                <w:rFonts w:ascii="Arial" w:eastAsia="Times New Roman" w:hAnsi="Arial" w:cs="Arial"/>
                <w:b/>
                <w:bCs/>
                <w:color w:val="000000"/>
                <w:sz w:val="20"/>
                <w:szCs w:val="20"/>
              </w:rPr>
              <w:t>Estimated Number of Annual Subscribers</w:t>
            </w:r>
          </w:p>
        </w:tc>
        <w:tc>
          <w:tcPr>
            <w:tcW w:w="17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C5EAE6" w14:textId="77777777" w:rsidR="00694F54" w:rsidRPr="005F39D4" w:rsidRDefault="00694F54" w:rsidP="00694F54">
            <w:pPr>
              <w:spacing w:after="0" w:line="240" w:lineRule="auto"/>
              <w:jc w:val="center"/>
              <w:rPr>
                <w:rFonts w:ascii="Arial" w:eastAsia="Times New Roman" w:hAnsi="Arial" w:cs="Arial"/>
                <w:b/>
                <w:bCs/>
                <w:color w:val="000000"/>
                <w:sz w:val="20"/>
                <w:szCs w:val="20"/>
              </w:rPr>
            </w:pPr>
            <w:r w:rsidRPr="005F39D4">
              <w:rPr>
                <w:rFonts w:ascii="Arial" w:eastAsia="Times New Roman" w:hAnsi="Arial" w:cs="Arial"/>
                <w:b/>
                <w:bCs/>
                <w:color w:val="000000"/>
                <w:sz w:val="20"/>
                <w:szCs w:val="20"/>
              </w:rPr>
              <w:t>Estimated Annual Subscriber Savings</w:t>
            </w:r>
          </w:p>
        </w:tc>
      </w:tr>
      <w:tr w:rsidR="00694F54" w:rsidRPr="00694F54" w14:paraId="5778D675" w14:textId="77777777" w:rsidTr="005F39D4">
        <w:trPr>
          <w:trHeight w:val="300"/>
          <w:jc w:val="center"/>
        </w:trPr>
        <w:tc>
          <w:tcPr>
            <w:tcW w:w="1734" w:type="dxa"/>
            <w:vMerge/>
            <w:tcBorders>
              <w:top w:val="single" w:sz="8" w:space="0" w:color="auto"/>
              <w:left w:val="single" w:sz="8" w:space="0" w:color="auto"/>
              <w:bottom w:val="single" w:sz="8" w:space="0" w:color="000000"/>
              <w:right w:val="single" w:sz="8" w:space="0" w:color="auto"/>
            </w:tcBorders>
            <w:vAlign w:val="center"/>
            <w:hideMark/>
          </w:tcPr>
          <w:p w14:paraId="5AE72FFF" w14:textId="77777777" w:rsidR="00694F54" w:rsidRPr="005F39D4" w:rsidRDefault="00694F54" w:rsidP="00694F54">
            <w:pPr>
              <w:spacing w:after="0" w:line="240" w:lineRule="auto"/>
              <w:rPr>
                <w:rFonts w:ascii="Arial" w:eastAsia="Times New Roman" w:hAnsi="Arial" w:cs="Arial"/>
                <w:b/>
                <w:bCs/>
                <w:color w:val="000000"/>
                <w:sz w:val="20"/>
                <w:szCs w:val="20"/>
              </w:rPr>
            </w:pPr>
          </w:p>
        </w:tc>
        <w:tc>
          <w:tcPr>
            <w:tcW w:w="1957" w:type="dxa"/>
            <w:tcBorders>
              <w:top w:val="nil"/>
              <w:left w:val="nil"/>
              <w:bottom w:val="single" w:sz="8" w:space="0" w:color="auto"/>
              <w:right w:val="single" w:sz="8" w:space="0" w:color="auto"/>
            </w:tcBorders>
            <w:shd w:val="clear" w:color="auto" w:fill="auto"/>
            <w:vAlign w:val="center"/>
            <w:hideMark/>
          </w:tcPr>
          <w:p w14:paraId="72293EAC" w14:textId="77777777"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(kWh)</w:t>
            </w:r>
          </w:p>
        </w:tc>
        <w:tc>
          <w:tcPr>
            <w:tcW w:w="1445" w:type="dxa"/>
            <w:vMerge/>
            <w:tcBorders>
              <w:top w:val="single" w:sz="8" w:space="0" w:color="auto"/>
              <w:left w:val="single" w:sz="8" w:space="0" w:color="auto"/>
              <w:bottom w:val="single" w:sz="8" w:space="0" w:color="000000"/>
              <w:right w:val="single" w:sz="8" w:space="0" w:color="auto"/>
            </w:tcBorders>
            <w:vAlign w:val="center"/>
            <w:hideMark/>
          </w:tcPr>
          <w:p w14:paraId="3356420C" w14:textId="77777777" w:rsidR="00694F54" w:rsidRPr="005F39D4" w:rsidRDefault="00694F54" w:rsidP="00694F54">
            <w:pPr>
              <w:spacing w:after="0" w:line="240" w:lineRule="auto"/>
              <w:rPr>
                <w:rFonts w:ascii="Arial" w:eastAsia="Times New Roman" w:hAnsi="Arial" w:cs="Arial"/>
                <w:b/>
                <w:bCs/>
                <w:color w:val="000000"/>
                <w:sz w:val="20"/>
                <w:szCs w:val="20"/>
              </w:rPr>
            </w:pPr>
          </w:p>
        </w:tc>
        <w:tc>
          <w:tcPr>
            <w:tcW w:w="1704" w:type="dxa"/>
            <w:vMerge/>
            <w:tcBorders>
              <w:top w:val="single" w:sz="8" w:space="0" w:color="auto"/>
              <w:left w:val="single" w:sz="8" w:space="0" w:color="auto"/>
              <w:bottom w:val="single" w:sz="8" w:space="0" w:color="000000"/>
              <w:right w:val="single" w:sz="8" w:space="0" w:color="auto"/>
            </w:tcBorders>
            <w:vAlign w:val="center"/>
            <w:hideMark/>
          </w:tcPr>
          <w:p w14:paraId="0F30A00D" w14:textId="77777777" w:rsidR="00694F54" w:rsidRPr="005F39D4" w:rsidRDefault="00694F54" w:rsidP="00694F54">
            <w:pPr>
              <w:spacing w:after="0" w:line="240" w:lineRule="auto"/>
              <w:rPr>
                <w:rFonts w:ascii="Arial" w:eastAsia="Times New Roman" w:hAnsi="Arial" w:cs="Arial"/>
                <w:b/>
                <w:bCs/>
                <w:color w:val="000000"/>
                <w:sz w:val="20"/>
                <w:szCs w:val="20"/>
              </w:rPr>
            </w:pPr>
          </w:p>
        </w:tc>
      </w:tr>
      <w:tr w:rsidR="00694F54" w:rsidRPr="00694F54" w14:paraId="12119CEC" w14:textId="77777777" w:rsidTr="005F39D4">
        <w:trPr>
          <w:trHeight w:val="300"/>
          <w:jc w:val="center"/>
        </w:trPr>
        <w:tc>
          <w:tcPr>
            <w:tcW w:w="1734" w:type="dxa"/>
            <w:tcBorders>
              <w:top w:val="nil"/>
              <w:left w:val="single" w:sz="8" w:space="0" w:color="auto"/>
              <w:bottom w:val="single" w:sz="8" w:space="0" w:color="auto"/>
              <w:right w:val="single" w:sz="8" w:space="0" w:color="auto"/>
            </w:tcBorders>
            <w:shd w:val="clear" w:color="auto" w:fill="auto"/>
            <w:vAlign w:val="center"/>
            <w:hideMark/>
          </w:tcPr>
          <w:p w14:paraId="51C82822" w14:textId="77777777"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100%</w:t>
            </w:r>
          </w:p>
        </w:tc>
        <w:tc>
          <w:tcPr>
            <w:tcW w:w="1957" w:type="dxa"/>
            <w:tcBorders>
              <w:top w:val="nil"/>
              <w:left w:val="nil"/>
              <w:bottom w:val="single" w:sz="8" w:space="0" w:color="auto"/>
              <w:right w:val="single" w:sz="8" w:space="0" w:color="auto"/>
            </w:tcBorders>
            <w:shd w:val="clear" w:color="auto" w:fill="auto"/>
            <w:vAlign w:val="center"/>
            <w:hideMark/>
          </w:tcPr>
          <w:p w14:paraId="06B89432" w14:textId="1651A14C" w:rsidR="00694F54" w:rsidRPr="005F39D4" w:rsidRDefault="005F39D4" w:rsidP="00B86AE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535,819,100</w:t>
            </w:r>
          </w:p>
        </w:tc>
        <w:tc>
          <w:tcPr>
            <w:tcW w:w="1445" w:type="dxa"/>
            <w:tcBorders>
              <w:top w:val="nil"/>
              <w:left w:val="nil"/>
              <w:bottom w:val="single" w:sz="8" w:space="0" w:color="auto"/>
              <w:right w:val="single" w:sz="8" w:space="0" w:color="auto"/>
            </w:tcBorders>
            <w:shd w:val="clear" w:color="auto" w:fill="auto"/>
            <w:vAlign w:val="center"/>
            <w:hideMark/>
          </w:tcPr>
          <w:p w14:paraId="7219EE98" w14:textId="07414210" w:rsidR="00694F54" w:rsidRPr="005F39D4" w:rsidRDefault="005F39D4" w:rsidP="00694F5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55,814</w:t>
            </w:r>
          </w:p>
        </w:tc>
        <w:tc>
          <w:tcPr>
            <w:tcW w:w="1704" w:type="dxa"/>
            <w:tcBorders>
              <w:top w:val="nil"/>
              <w:left w:val="nil"/>
              <w:bottom w:val="single" w:sz="8" w:space="0" w:color="auto"/>
              <w:right w:val="single" w:sz="8" w:space="0" w:color="auto"/>
            </w:tcBorders>
            <w:shd w:val="clear" w:color="auto" w:fill="auto"/>
            <w:vAlign w:val="center"/>
            <w:hideMark/>
          </w:tcPr>
          <w:p w14:paraId="67E33268" w14:textId="193267AB"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w:t>
            </w:r>
            <w:r w:rsidR="005F39D4">
              <w:rPr>
                <w:rFonts w:ascii="Arial" w:eastAsia="Times New Roman" w:hAnsi="Arial" w:cs="Arial"/>
                <w:color w:val="000000"/>
                <w:sz w:val="20"/>
                <w:szCs w:val="20"/>
              </w:rPr>
              <w:t>13,395,478</w:t>
            </w:r>
            <w:r w:rsidRPr="005F39D4">
              <w:rPr>
                <w:rFonts w:ascii="Arial" w:eastAsia="Times New Roman" w:hAnsi="Arial" w:cs="Arial"/>
                <w:color w:val="000000"/>
                <w:sz w:val="20"/>
                <w:szCs w:val="20"/>
              </w:rPr>
              <w:t xml:space="preserve"> </w:t>
            </w:r>
          </w:p>
        </w:tc>
      </w:tr>
      <w:tr w:rsidR="00694F54" w:rsidRPr="00694F54" w14:paraId="3F1D7116" w14:textId="77777777" w:rsidTr="005F39D4">
        <w:trPr>
          <w:trHeight w:val="300"/>
          <w:jc w:val="center"/>
        </w:trPr>
        <w:tc>
          <w:tcPr>
            <w:tcW w:w="1734" w:type="dxa"/>
            <w:tcBorders>
              <w:top w:val="nil"/>
              <w:left w:val="single" w:sz="8" w:space="0" w:color="auto"/>
              <w:bottom w:val="single" w:sz="8" w:space="0" w:color="auto"/>
              <w:right w:val="single" w:sz="8" w:space="0" w:color="auto"/>
            </w:tcBorders>
            <w:shd w:val="clear" w:color="auto" w:fill="auto"/>
            <w:vAlign w:val="center"/>
            <w:hideMark/>
          </w:tcPr>
          <w:p w14:paraId="48BDB4BE" w14:textId="77777777"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75%</w:t>
            </w:r>
          </w:p>
        </w:tc>
        <w:tc>
          <w:tcPr>
            <w:tcW w:w="1957" w:type="dxa"/>
            <w:tcBorders>
              <w:top w:val="nil"/>
              <w:left w:val="nil"/>
              <w:bottom w:val="single" w:sz="8" w:space="0" w:color="auto"/>
              <w:right w:val="single" w:sz="8" w:space="0" w:color="auto"/>
            </w:tcBorders>
            <w:shd w:val="clear" w:color="auto" w:fill="auto"/>
            <w:vAlign w:val="center"/>
            <w:hideMark/>
          </w:tcPr>
          <w:p w14:paraId="30CBC0E7" w14:textId="77777777"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w:t>
            </w:r>
          </w:p>
        </w:tc>
        <w:tc>
          <w:tcPr>
            <w:tcW w:w="1445" w:type="dxa"/>
            <w:tcBorders>
              <w:top w:val="nil"/>
              <w:left w:val="nil"/>
              <w:bottom w:val="single" w:sz="8" w:space="0" w:color="auto"/>
              <w:right w:val="single" w:sz="8" w:space="0" w:color="auto"/>
            </w:tcBorders>
            <w:shd w:val="clear" w:color="auto" w:fill="auto"/>
            <w:vAlign w:val="center"/>
            <w:hideMark/>
          </w:tcPr>
          <w:p w14:paraId="13B43CA1" w14:textId="16AF9424" w:rsidR="00694F54" w:rsidRPr="005F39D4" w:rsidRDefault="005F39D4" w:rsidP="00694F5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41,861</w:t>
            </w:r>
          </w:p>
        </w:tc>
        <w:tc>
          <w:tcPr>
            <w:tcW w:w="1704" w:type="dxa"/>
            <w:tcBorders>
              <w:top w:val="nil"/>
              <w:left w:val="nil"/>
              <w:bottom w:val="single" w:sz="8" w:space="0" w:color="auto"/>
              <w:right w:val="single" w:sz="8" w:space="0" w:color="auto"/>
            </w:tcBorders>
            <w:shd w:val="clear" w:color="auto" w:fill="auto"/>
            <w:vAlign w:val="center"/>
            <w:hideMark/>
          </w:tcPr>
          <w:p w14:paraId="0486B6BF" w14:textId="619CB8BC"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w:t>
            </w:r>
            <w:r w:rsidR="005F39D4">
              <w:rPr>
                <w:rFonts w:ascii="Arial" w:eastAsia="Times New Roman" w:hAnsi="Arial" w:cs="Arial"/>
                <w:color w:val="000000"/>
                <w:sz w:val="20"/>
                <w:szCs w:val="20"/>
              </w:rPr>
              <w:t>10,046,608</w:t>
            </w:r>
            <w:r w:rsidRPr="005F39D4">
              <w:rPr>
                <w:rFonts w:ascii="Arial" w:eastAsia="Times New Roman" w:hAnsi="Arial" w:cs="Arial"/>
                <w:color w:val="000000"/>
                <w:sz w:val="20"/>
                <w:szCs w:val="20"/>
              </w:rPr>
              <w:t xml:space="preserve"> </w:t>
            </w:r>
          </w:p>
        </w:tc>
      </w:tr>
      <w:tr w:rsidR="00694F54" w:rsidRPr="00694F54" w14:paraId="16EB6645" w14:textId="77777777" w:rsidTr="005F39D4">
        <w:trPr>
          <w:trHeight w:val="300"/>
          <w:jc w:val="center"/>
        </w:trPr>
        <w:tc>
          <w:tcPr>
            <w:tcW w:w="1734" w:type="dxa"/>
            <w:tcBorders>
              <w:top w:val="nil"/>
              <w:left w:val="single" w:sz="8" w:space="0" w:color="auto"/>
              <w:bottom w:val="single" w:sz="8" w:space="0" w:color="auto"/>
              <w:right w:val="single" w:sz="8" w:space="0" w:color="auto"/>
            </w:tcBorders>
            <w:shd w:val="clear" w:color="auto" w:fill="auto"/>
            <w:vAlign w:val="center"/>
            <w:hideMark/>
          </w:tcPr>
          <w:p w14:paraId="67883F91" w14:textId="77777777"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50%</w:t>
            </w:r>
          </w:p>
        </w:tc>
        <w:tc>
          <w:tcPr>
            <w:tcW w:w="1957" w:type="dxa"/>
            <w:tcBorders>
              <w:top w:val="nil"/>
              <w:left w:val="nil"/>
              <w:bottom w:val="single" w:sz="8" w:space="0" w:color="auto"/>
              <w:right w:val="single" w:sz="8" w:space="0" w:color="auto"/>
            </w:tcBorders>
            <w:shd w:val="clear" w:color="auto" w:fill="auto"/>
            <w:vAlign w:val="center"/>
            <w:hideMark/>
          </w:tcPr>
          <w:p w14:paraId="70FB9110" w14:textId="77777777"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w:t>
            </w:r>
          </w:p>
        </w:tc>
        <w:tc>
          <w:tcPr>
            <w:tcW w:w="1445" w:type="dxa"/>
            <w:tcBorders>
              <w:top w:val="nil"/>
              <w:left w:val="nil"/>
              <w:bottom w:val="single" w:sz="8" w:space="0" w:color="auto"/>
              <w:right w:val="single" w:sz="8" w:space="0" w:color="auto"/>
            </w:tcBorders>
            <w:shd w:val="clear" w:color="auto" w:fill="auto"/>
            <w:vAlign w:val="center"/>
            <w:hideMark/>
          </w:tcPr>
          <w:p w14:paraId="7DF90885" w14:textId="5FED5F5A" w:rsidR="00694F54" w:rsidRPr="005F39D4" w:rsidRDefault="005F39D4" w:rsidP="00694F5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27,907</w:t>
            </w:r>
          </w:p>
        </w:tc>
        <w:tc>
          <w:tcPr>
            <w:tcW w:w="1704" w:type="dxa"/>
            <w:tcBorders>
              <w:top w:val="nil"/>
              <w:left w:val="nil"/>
              <w:bottom w:val="single" w:sz="8" w:space="0" w:color="auto"/>
              <w:right w:val="single" w:sz="8" w:space="0" w:color="auto"/>
            </w:tcBorders>
            <w:shd w:val="clear" w:color="auto" w:fill="auto"/>
            <w:vAlign w:val="center"/>
            <w:hideMark/>
          </w:tcPr>
          <w:p w14:paraId="55C8E44E" w14:textId="0AA7B37C"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w:t>
            </w:r>
            <w:r w:rsidR="005F39D4">
              <w:rPr>
                <w:rFonts w:ascii="Arial" w:eastAsia="Times New Roman" w:hAnsi="Arial" w:cs="Arial"/>
                <w:color w:val="000000"/>
                <w:sz w:val="20"/>
                <w:szCs w:val="20"/>
              </w:rPr>
              <w:t>6,697,739</w:t>
            </w:r>
            <w:r w:rsidRPr="005F39D4">
              <w:rPr>
                <w:rFonts w:ascii="Arial" w:eastAsia="Times New Roman" w:hAnsi="Arial" w:cs="Arial"/>
                <w:color w:val="000000"/>
                <w:sz w:val="20"/>
                <w:szCs w:val="20"/>
              </w:rPr>
              <w:t xml:space="preserve"> </w:t>
            </w:r>
          </w:p>
        </w:tc>
      </w:tr>
      <w:tr w:rsidR="00694F54" w:rsidRPr="00694F54" w14:paraId="69256A8F" w14:textId="77777777" w:rsidTr="005F39D4">
        <w:trPr>
          <w:trHeight w:val="300"/>
          <w:jc w:val="center"/>
        </w:trPr>
        <w:tc>
          <w:tcPr>
            <w:tcW w:w="1734" w:type="dxa"/>
            <w:tcBorders>
              <w:top w:val="nil"/>
              <w:left w:val="single" w:sz="8" w:space="0" w:color="auto"/>
              <w:bottom w:val="single" w:sz="8" w:space="0" w:color="auto"/>
              <w:right w:val="single" w:sz="8" w:space="0" w:color="auto"/>
            </w:tcBorders>
            <w:shd w:val="clear" w:color="auto" w:fill="auto"/>
            <w:vAlign w:val="center"/>
            <w:hideMark/>
          </w:tcPr>
          <w:p w14:paraId="5FBF280D" w14:textId="77777777"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25%</w:t>
            </w:r>
          </w:p>
        </w:tc>
        <w:tc>
          <w:tcPr>
            <w:tcW w:w="1957" w:type="dxa"/>
            <w:tcBorders>
              <w:top w:val="nil"/>
              <w:left w:val="nil"/>
              <w:bottom w:val="single" w:sz="8" w:space="0" w:color="auto"/>
              <w:right w:val="single" w:sz="8" w:space="0" w:color="auto"/>
            </w:tcBorders>
            <w:shd w:val="clear" w:color="auto" w:fill="auto"/>
            <w:vAlign w:val="center"/>
            <w:hideMark/>
          </w:tcPr>
          <w:p w14:paraId="43706366" w14:textId="77777777"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w:t>
            </w:r>
          </w:p>
        </w:tc>
        <w:tc>
          <w:tcPr>
            <w:tcW w:w="1445" w:type="dxa"/>
            <w:tcBorders>
              <w:top w:val="nil"/>
              <w:left w:val="nil"/>
              <w:bottom w:val="single" w:sz="8" w:space="0" w:color="auto"/>
              <w:right w:val="single" w:sz="8" w:space="0" w:color="auto"/>
            </w:tcBorders>
            <w:shd w:val="clear" w:color="auto" w:fill="auto"/>
            <w:vAlign w:val="center"/>
            <w:hideMark/>
          </w:tcPr>
          <w:p w14:paraId="49A21061" w14:textId="3D9C3C9F" w:rsidR="00694F54" w:rsidRPr="005F39D4" w:rsidRDefault="005F39D4" w:rsidP="00694F5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13,954</w:t>
            </w:r>
          </w:p>
        </w:tc>
        <w:tc>
          <w:tcPr>
            <w:tcW w:w="1704" w:type="dxa"/>
            <w:tcBorders>
              <w:top w:val="nil"/>
              <w:left w:val="nil"/>
              <w:bottom w:val="single" w:sz="8" w:space="0" w:color="auto"/>
              <w:right w:val="single" w:sz="8" w:space="0" w:color="auto"/>
            </w:tcBorders>
            <w:shd w:val="clear" w:color="auto" w:fill="auto"/>
            <w:vAlign w:val="center"/>
            <w:hideMark/>
          </w:tcPr>
          <w:p w14:paraId="695B2849" w14:textId="14F640D1" w:rsidR="00694F54" w:rsidRPr="005F39D4" w:rsidRDefault="00694F54" w:rsidP="00694F54">
            <w:pPr>
              <w:spacing w:after="0" w:line="240" w:lineRule="auto"/>
              <w:jc w:val="center"/>
              <w:rPr>
                <w:rFonts w:ascii="Arial" w:eastAsia="Times New Roman" w:hAnsi="Arial" w:cs="Arial"/>
                <w:color w:val="000000"/>
                <w:sz w:val="20"/>
                <w:szCs w:val="20"/>
              </w:rPr>
            </w:pPr>
            <w:r w:rsidRPr="005F39D4">
              <w:rPr>
                <w:rFonts w:ascii="Arial" w:eastAsia="Times New Roman" w:hAnsi="Arial" w:cs="Arial"/>
                <w:color w:val="000000"/>
                <w:sz w:val="20"/>
                <w:szCs w:val="20"/>
              </w:rPr>
              <w:t>$</w:t>
            </w:r>
            <w:r w:rsidR="005F39D4">
              <w:rPr>
                <w:rFonts w:ascii="Arial" w:eastAsia="Times New Roman" w:hAnsi="Arial" w:cs="Arial"/>
                <w:color w:val="000000"/>
                <w:sz w:val="20"/>
                <w:szCs w:val="20"/>
              </w:rPr>
              <w:t>3,348,869</w:t>
            </w:r>
            <w:r w:rsidRPr="005F39D4">
              <w:rPr>
                <w:rFonts w:ascii="Arial" w:eastAsia="Times New Roman" w:hAnsi="Arial" w:cs="Arial"/>
                <w:color w:val="000000"/>
                <w:sz w:val="20"/>
                <w:szCs w:val="20"/>
              </w:rPr>
              <w:t xml:space="preserve"> </w:t>
            </w:r>
          </w:p>
        </w:tc>
      </w:tr>
    </w:tbl>
    <w:p w14:paraId="38C88CC3" w14:textId="119E49C3" w:rsidR="00694F54" w:rsidRDefault="00694F54" w:rsidP="0037296E">
      <w:pPr>
        <w:pStyle w:val="ListParagraph"/>
        <w:spacing w:after="0"/>
        <w:ind w:left="0"/>
        <w:rPr>
          <w:rFonts w:eastAsia="Times New Roman" w:cs="Arial"/>
        </w:rPr>
      </w:pPr>
    </w:p>
    <w:p w14:paraId="00807045" w14:textId="7B5A8AD4" w:rsidR="005F39D4" w:rsidRDefault="005F39D4" w:rsidP="0037296E">
      <w:pPr>
        <w:pStyle w:val="ListParagraph"/>
        <w:spacing w:after="0"/>
        <w:ind w:left="0"/>
        <w:rPr>
          <w:rFonts w:eastAsia="Times New Roman" w:cs="Arial"/>
        </w:rPr>
      </w:pPr>
      <w:r>
        <w:rPr>
          <w:rFonts w:eastAsia="Times New Roman" w:cs="Arial"/>
        </w:rPr>
        <w:t>It should be noted that this assumes that 60% of the estimated annual clean energy production is directed to Subscribers from the residential LMI market segment.</w:t>
      </w:r>
    </w:p>
    <w:p w14:paraId="26EB8801" w14:textId="77777777" w:rsidR="005F39D4" w:rsidRDefault="005F39D4" w:rsidP="0037296E">
      <w:pPr>
        <w:pStyle w:val="ListParagraph"/>
        <w:spacing w:after="0"/>
        <w:ind w:left="0"/>
        <w:rPr>
          <w:rFonts w:eastAsia="Times New Roman" w:cs="Arial"/>
        </w:rPr>
      </w:pPr>
    </w:p>
    <w:p w14:paraId="524AA10B" w14:textId="69C9602B" w:rsidR="008E32B2" w:rsidRDefault="00D51C83" w:rsidP="0037296E">
      <w:pPr>
        <w:pStyle w:val="ListParagraph"/>
        <w:spacing w:after="0"/>
        <w:ind w:left="0"/>
        <w:rPr>
          <w:rFonts w:eastAsia="Times New Roman" w:cs="Arial"/>
        </w:rPr>
      </w:pPr>
      <w:r>
        <w:rPr>
          <w:rFonts w:eastAsia="Times New Roman" w:cs="Arial"/>
        </w:rPr>
        <w:t xml:space="preserve">With strong community-based marketing, the Green Bank would estimate that at least 25 percent of Subscribers would be willing to participate in the </w:t>
      </w:r>
      <w:r w:rsidR="00AB18A7">
        <w:rPr>
          <w:rFonts w:eastAsia="Times New Roman" w:cs="Arial"/>
        </w:rPr>
        <w:t xml:space="preserve">proposal </w:t>
      </w:r>
      <w:r>
        <w:rPr>
          <w:rFonts w:eastAsia="Times New Roman" w:cs="Arial"/>
        </w:rPr>
        <w:t>providing between $</w:t>
      </w:r>
      <w:r w:rsidR="003B4461">
        <w:rPr>
          <w:rFonts w:eastAsia="Times New Roman" w:cs="Arial"/>
        </w:rPr>
        <w:t>3</w:t>
      </w:r>
      <w:r w:rsidR="005F39D4">
        <w:rPr>
          <w:rFonts w:eastAsia="Times New Roman" w:cs="Arial"/>
        </w:rPr>
        <w:t>.5</w:t>
      </w:r>
      <w:r>
        <w:rPr>
          <w:rFonts w:eastAsia="Times New Roman" w:cs="Arial"/>
        </w:rPr>
        <w:t xml:space="preserve"> MM of additional resources for energy efficiency a year, or $</w:t>
      </w:r>
      <w:r w:rsidR="003B4461">
        <w:rPr>
          <w:rFonts w:eastAsia="Times New Roman" w:cs="Arial"/>
        </w:rPr>
        <w:t>67</w:t>
      </w:r>
      <w:r>
        <w:rPr>
          <w:rFonts w:eastAsia="Times New Roman" w:cs="Arial"/>
        </w:rPr>
        <w:t xml:space="preserve"> MM over the 20-year period of the Subscriber Savings. </w:t>
      </w:r>
    </w:p>
    <w:p w14:paraId="21FA3315" w14:textId="2A730277" w:rsidR="00255254" w:rsidRDefault="00255254" w:rsidP="00D51C83">
      <w:pPr>
        <w:pStyle w:val="ListParagraph"/>
        <w:pBdr>
          <w:bottom w:val="single" w:sz="4" w:space="1" w:color="auto"/>
        </w:pBdr>
        <w:spacing w:after="0"/>
        <w:ind w:left="0"/>
        <w:rPr>
          <w:rFonts w:eastAsia="Times New Roman" w:cs="Arial"/>
        </w:rPr>
      </w:pPr>
    </w:p>
    <w:p w14:paraId="1932621B" w14:textId="3CEA553D" w:rsidR="00D51C83" w:rsidRDefault="00D51C83" w:rsidP="0037296E">
      <w:pPr>
        <w:pStyle w:val="ListParagraph"/>
        <w:spacing w:after="0"/>
        <w:ind w:left="0"/>
        <w:rPr>
          <w:rFonts w:eastAsia="Times New Roman" w:cs="Arial"/>
        </w:rPr>
      </w:pPr>
    </w:p>
    <w:p w14:paraId="04D4DE2E" w14:textId="6B856C35" w:rsidR="00D51C83" w:rsidRDefault="00D51C83" w:rsidP="0037296E">
      <w:pPr>
        <w:pStyle w:val="ListParagraph"/>
        <w:spacing w:after="0"/>
        <w:ind w:left="0"/>
        <w:rPr>
          <w:rFonts w:eastAsia="Times New Roman" w:cs="Arial"/>
          <w:b/>
          <w:bCs/>
        </w:rPr>
      </w:pPr>
      <w:r>
        <w:rPr>
          <w:rFonts w:eastAsia="Times New Roman" w:cs="Arial"/>
          <w:b/>
          <w:bCs/>
        </w:rPr>
        <w:t>Next Steps</w:t>
      </w:r>
    </w:p>
    <w:p w14:paraId="037E5F17" w14:textId="268FD898" w:rsidR="00D51C83" w:rsidRDefault="00D51C83" w:rsidP="0037296E">
      <w:pPr>
        <w:pStyle w:val="ListParagraph"/>
        <w:spacing w:after="0"/>
        <w:ind w:left="0"/>
        <w:rPr>
          <w:rFonts w:eastAsia="Times New Roman" w:cs="Arial"/>
        </w:rPr>
      </w:pPr>
      <w:r>
        <w:rPr>
          <w:rFonts w:eastAsia="Times New Roman" w:cs="Arial"/>
        </w:rPr>
        <w:t>As a follow-up to the Joint Committee meeting, the following are next steps:</w:t>
      </w:r>
    </w:p>
    <w:p w14:paraId="777518D4" w14:textId="62468682" w:rsidR="00D51C83" w:rsidRDefault="00D51C83" w:rsidP="0037296E">
      <w:pPr>
        <w:pStyle w:val="ListParagraph"/>
        <w:spacing w:after="0"/>
        <w:ind w:left="0"/>
        <w:rPr>
          <w:rFonts w:eastAsia="Times New Roman" w:cs="Arial"/>
        </w:rPr>
      </w:pPr>
    </w:p>
    <w:p w14:paraId="4543C092" w14:textId="30E40376" w:rsidR="00633ACB" w:rsidRDefault="00633ACB" w:rsidP="00191B41">
      <w:pPr>
        <w:pStyle w:val="ListParagraph"/>
        <w:numPr>
          <w:ilvl w:val="0"/>
          <w:numId w:val="1"/>
        </w:numPr>
        <w:spacing w:after="0" w:line="240" w:lineRule="auto"/>
        <w:ind w:right="792"/>
        <w:rPr>
          <w:rFonts w:eastAsia="Times New Roman" w:cs="Arial"/>
        </w:rPr>
      </w:pPr>
      <w:r>
        <w:rPr>
          <w:rFonts w:eastAsia="Times New Roman" w:cs="Arial"/>
          <w:b/>
          <w:bCs/>
          <w:u w:val="single"/>
        </w:rPr>
        <w:t xml:space="preserve">Redline Edits to Program </w:t>
      </w:r>
      <w:r w:rsidR="002309DE">
        <w:rPr>
          <w:rFonts w:eastAsia="Times New Roman" w:cs="Arial"/>
          <w:b/>
          <w:bCs/>
          <w:u w:val="single"/>
        </w:rPr>
        <w:t>Requirements</w:t>
      </w:r>
      <w:r w:rsidR="002309DE">
        <w:rPr>
          <w:rFonts w:eastAsia="Times New Roman" w:cs="Arial"/>
        </w:rPr>
        <w:t xml:space="preserve"> </w:t>
      </w:r>
      <w:r>
        <w:rPr>
          <w:rFonts w:eastAsia="Times New Roman" w:cs="Arial"/>
        </w:rPr>
        <w:t xml:space="preserve">– </w:t>
      </w:r>
      <w:r w:rsidR="00D51C83">
        <w:rPr>
          <w:rFonts w:eastAsia="Times New Roman" w:cs="Arial"/>
        </w:rPr>
        <w:t xml:space="preserve">the Joint Committee supports the redline editing </w:t>
      </w:r>
      <w:r w:rsidR="000471E5">
        <w:rPr>
          <w:rFonts w:eastAsia="Times New Roman" w:cs="Arial"/>
        </w:rPr>
        <w:t xml:space="preserve">by Eversource and the Green Bank </w:t>
      </w:r>
      <w:r w:rsidR="00D51C83">
        <w:rPr>
          <w:rFonts w:eastAsia="Times New Roman" w:cs="Arial"/>
        </w:rPr>
        <w:t xml:space="preserve">of the </w:t>
      </w:r>
      <w:r w:rsidR="00BC4C4E">
        <w:rPr>
          <w:rFonts w:eastAsia="Times New Roman" w:cs="Arial"/>
        </w:rPr>
        <w:t>SCEF Modified Program Requirements</w:t>
      </w:r>
      <w:r w:rsidR="00D51C83">
        <w:rPr>
          <w:rFonts w:eastAsia="Times New Roman" w:cs="Arial"/>
        </w:rPr>
        <w:t xml:space="preserve"> to enable the </w:t>
      </w:r>
      <w:r w:rsidR="00AB18A7">
        <w:rPr>
          <w:rFonts w:eastAsia="Times New Roman" w:cs="Arial"/>
        </w:rPr>
        <w:t>proposal</w:t>
      </w:r>
      <w:r w:rsidR="00D51C83">
        <w:rPr>
          <w:rFonts w:eastAsia="Times New Roman" w:cs="Arial"/>
        </w:rPr>
        <w:t xml:space="preserve">; </w:t>
      </w:r>
    </w:p>
    <w:p w14:paraId="1C907067" w14:textId="77777777" w:rsidR="00D51C83" w:rsidRDefault="00D51C83" w:rsidP="00D51C83">
      <w:pPr>
        <w:pStyle w:val="ListParagraph"/>
        <w:spacing w:after="0" w:line="240" w:lineRule="auto"/>
        <w:ind w:right="792"/>
        <w:rPr>
          <w:rFonts w:eastAsia="Times New Roman" w:cs="Arial"/>
        </w:rPr>
      </w:pPr>
    </w:p>
    <w:p w14:paraId="59FE9CA7" w14:textId="147D1BFA" w:rsidR="00D51C83" w:rsidRDefault="00D51C83" w:rsidP="00191B41">
      <w:pPr>
        <w:pStyle w:val="ListParagraph"/>
        <w:numPr>
          <w:ilvl w:val="0"/>
          <w:numId w:val="1"/>
        </w:numPr>
        <w:spacing w:after="0" w:line="240" w:lineRule="auto"/>
        <w:ind w:right="792"/>
        <w:rPr>
          <w:rFonts w:eastAsia="Times New Roman" w:cs="Arial"/>
        </w:rPr>
      </w:pPr>
      <w:r>
        <w:rPr>
          <w:rFonts w:eastAsia="Times New Roman" w:cs="Arial"/>
          <w:b/>
          <w:bCs/>
          <w:u w:val="single"/>
        </w:rPr>
        <w:t>Draft Memo</w:t>
      </w:r>
      <w:r>
        <w:rPr>
          <w:rFonts w:eastAsia="Times New Roman" w:cs="Arial"/>
        </w:rPr>
        <w:t xml:space="preserve"> – to accompany the SCEF filing, </w:t>
      </w:r>
      <w:r w:rsidR="000471E5">
        <w:rPr>
          <w:rFonts w:eastAsia="Times New Roman" w:cs="Arial"/>
        </w:rPr>
        <w:t>that this memo be included</w:t>
      </w:r>
      <w:r>
        <w:rPr>
          <w:rFonts w:eastAsia="Times New Roman" w:cs="Arial"/>
        </w:rPr>
        <w:t>, including the links to the presentation and record</w:t>
      </w:r>
      <w:r w:rsidR="000471E5">
        <w:rPr>
          <w:rFonts w:eastAsia="Times New Roman" w:cs="Arial"/>
        </w:rPr>
        <w:t>ing from the Joint Committee meeting</w:t>
      </w:r>
      <w:r>
        <w:rPr>
          <w:rFonts w:eastAsia="Times New Roman" w:cs="Arial"/>
        </w:rPr>
        <w:t>, to provide PURA with additional background; and</w:t>
      </w:r>
    </w:p>
    <w:p w14:paraId="5AF45B0F" w14:textId="77777777" w:rsidR="00D51C83" w:rsidRPr="00D51C83" w:rsidRDefault="00D51C83" w:rsidP="00D51C83">
      <w:pPr>
        <w:pStyle w:val="ListParagraph"/>
        <w:rPr>
          <w:rFonts w:eastAsia="Times New Roman" w:cs="Arial"/>
        </w:rPr>
      </w:pPr>
    </w:p>
    <w:p w14:paraId="31C12D51" w14:textId="366584E2" w:rsidR="00D51C83" w:rsidRDefault="00D51C83" w:rsidP="00191B41">
      <w:pPr>
        <w:pStyle w:val="ListParagraph"/>
        <w:numPr>
          <w:ilvl w:val="0"/>
          <w:numId w:val="1"/>
        </w:numPr>
        <w:spacing w:after="0" w:line="240" w:lineRule="auto"/>
        <w:ind w:right="792"/>
        <w:rPr>
          <w:rFonts w:eastAsia="Times New Roman" w:cs="Arial"/>
        </w:rPr>
      </w:pPr>
      <w:r>
        <w:rPr>
          <w:rFonts w:eastAsia="Times New Roman" w:cs="Arial"/>
          <w:b/>
          <w:bCs/>
          <w:u w:val="single"/>
        </w:rPr>
        <w:t>Recommendation from Joint Committee</w:t>
      </w:r>
      <w:r>
        <w:rPr>
          <w:rFonts w:eastAsia="Times New Roman" w:cs="Arial"/>
        </w:rPr>
        <w:t xml:space="preserve"> – that within the SCEF filing it be indicated that the Joint Committee would support PURA’s </w:t>
      </w:r>
      <w:r w:rsidR="000471E5">
        <w:rPr>
          <w:rFonts w:eastAsia="Times New Roman" w:cs="Arial"/>
        </w:rPr>
        <w:t xml:space="preserve">efforts to bring together appropriate stakeholders (e.g., Connecticut Equity and Environmental Justice Advisory Council) </w:t>
      </w:r>
      <w:r w:rsidR="0076738F">
        <w:rPr>
          <w:rFonts w:eastAsia="Times New Roman" w:cs="Arial"/>
        </w:rPr>
        <w:t xml:space="preserve">in a public docket proceeding </w:t>
      </w:r>
      <w:r w:rsidR="000471E5">
        <w:rPr>
          <w:rFonts w:eastAsia="Times New Roman" w:cs="Arial"/>
        </w:rPr>
        <w:t xml:space="preserve">to discuss how the </w:t>
      </w:r>
      <w:r w:rsidR="00AB18A7">
        <w:rPr>
          <w:rFonts w:eastAsia="Times New Roman" w:cs="Arial"/>
        </w:rPr>
        <w:t xml:space="preserve">proposal </w:t>
      </w:r>
      <w:r w:rsidR="000471E5">
        <w:rPr>
          <w:rFonts w:eastAsia="Times New Roman" w:cs="Arial"/>
        </w:rPr>
        <w:t>might be used to support additional public policy objectives.</w:t>
      </w:r>
    </w:p>
    <w:p w14:paraId="73A52D7F" w14:textId="3EDF8968" w:rsidR="00B75A80" w:rsidRDefault="00B75A80" w:rsidP="00B75A80">
      <w:pPr>
        <w:spacing w:after="0" w:line="240" w:lineRule="auto"/>
        <w:ind w:right="792"/>
        <w:rPr>
          <w:rFonts w:eastAsia="Times New Roman" w:cs="Arial"/>
        </w:rPr>
      </w:pPr>
    </w:p>
    <w:p w14:paraId="20A7361F" w14:textId="0D1A7E22" w:rsidR="00B75A80" w:rsidRPr="00B75A80" w:rsidRDefault="00B75A80" w:rsidP="00B75A80">
      <w:pPr>
        <w:spacing w:after="0" w:line="240" w:lineRule="auto"/>
        <w:ind w:right="-18"/>
        <w:rPr>
          <w:rFonts w:eastAsia="Times New Roman" w:cs="Arial"/>
        </w:rPr>
      </w:pPr>
      <w:r>
        <w:rPr>
          <w:rFonts w:eastAsia="Times New Roman" w:cs="Arial"/>
        </w:rPr>
        <w:t xml:space="preserve">It should be noted, that even though Eversource participated in these meetings, that its involvement does not constitute endorsement of the </w:t>
      </w:r>
      <w:r w:rsidR="00AB18A7">
        <w:rPr>
          <w:rFonts w:eastAsia="Times New Roman" w:cs="Arial"/>
        </w:rPr>
        <w:t>proposal</w:t>
      </w:r>
      <w:r>
        <w:rPr>
          <w:rFonts w:eastAsia="Times New Roman" w:cs="Arial"/>
        </w:rPr>
        <w:t>.</w:t>
      </w:r>
    </w:p>
    <w:sectPr w:rsidR="00B75A80" w:rsidRPr="00B75A80" w:rsidSect="00CC2D1E">
      <w:footerReference w:type="default" r:id="rId11"/>
      <w:headerReference w:type="first" r:id="rId12"/>
      <w:pgSz w:w="12240" w:h="15840" w:code="1"/>
      <w:pgMar w:top="1440" w:right="135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65322" w14:textId="77777777" w:rsidR="00EA21C8" w:rsidRDefault="00EA21C8" w:rsidP="00E970E3">
      <w:pPr>
        <w:spacing w:after="0" w:line="240" w:lineRule="auto"/>
      </w:pPr>
      <w:r>
        <w:separator/>
      </w:r>
    </w:p>
  </w:endnote>
  <w:endnote w:type="continuationSeparator" w:id="0">
    <w:p w14:paraId="443D7454" w14:textId="77777777" w:rsidR="00EA21C8" w:rsidRDefault="00EA21C8" w:rsidP="00E9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6F669" w14:textId="7C9DEF66" w:rsidR="00E763C0" w:rsidRDefault="00772CF2">
    <w:pPr>
      <w:pStyle w:val="Footer"/>
      <w:jc w:val="right"/>
    </w:pPr>
    <w:sdt>
      <w:sdtPr>
        <w:id w:val="-408551698"/>
        <w:docPartObj>
          <w:docPartGallery w:val="Page Numbers (Bottom of Page)"/>
          <w:docPartUnique/>
        </w:docPartObj>
      </w:sdtPr>
      <w:sdtEndPr>
        <w:rPr>
          <w:noProof/>
        </w:rPr>
      </w:sdtEndPr>
      <w:sdtContent>
        <w:r w:rsidR="00E763C0">
          <w:fldChar w:fldCharType="begin"/>
        </w:r>
        <w:r w:rsidR="00E763C0">
          <w:instrText xml:space="preserve"> PAGE   \* MERGEFORMAT </w:instrText>
        </w:r>
        <w:r w:rsidR="00E763C0">
          <w:fldChar w:fldCharType="separate"/>
        </w:r>
        <w:r w:rsidR="00E763C0">
          <w:rPr>
            <w:noProof/>
          </w:rPr>
          <w:t>2</w:t>
        </w:r>
        <w:r w:rsidR="00E763C0">
          <w:rPr>
            <w:noProof/>
          </w:rPr>
          <w:fldChar w:fldCharType="end"/>
        </w:r>
      </w:sdtContent>
    </w:sdt>
  </w:p>
  <w:p w14:paraId="633D9849" w14:textId="77777777" w:rsidR="00E00249" w:rsidRDefault="00E00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0F1E6" w14:textId="77777777" w:rsidR="00EA21C8" w:rsidRDefault="00EA21C8" w:rsidP="00E970E3">
      <w:pPr>
        <w:spacing w:after="0" w:line="240" w:lineRule="auto"/>
      </w:pPr>
      <w:r>
        <w:separator/>
      </w:r>
    </w:p>
  </w:footnote>
  <w:footnote w:type="continuationSeparator" w:id="0">
    <w:p w14:paraId="6CC3DFCB" w14:textId="77777777" w:rsidR="00EA21C8" w:rsidRDefault="00EA21C8" w:rsidP="00E970E3">
      <w:pPr>
        <w:spacing w:after="0" w:line="240" w:lineRule="auto"/>
      </w:pPr>
      <w:r>
        <w:continuationSeparator/>
      </w:r>
    </w:p>
  </w:footnote>
  <w:footnote w:id="1">
    <w:p w14:paraId="52C43D70" w14:textId="73544C83" w:rsidR="00191B41" w:rsidRPr="00B75A80" w:rsidRDefault="00191B41" w:rsidP="00B75A80">
      <w:pPr>
        <w:pStyle w:val="FootnoteText"/>
        <w:ind w:left="90" w:hanging="90"/>
        <w:rPr>
          <w:rFonts w:ascii="Calibri" w:hAnsi="Calibri" w:cs="Calibri"/>
          <w:sz w:val="18"/>
          <w:szCs w:val="18"/>
        </w:rPr>
      </w:pPr>
      <w:r w:rsidRPr="00191B41">
        <w:rPr>
          <w:rStyle w:val="FootnoteReference"/>
          <w:rFonts w:ascii="Calibri" w:hAnsi="Calibri" w:cs="Calibri"/>
          <w:sz w:val="18"/>
          <w:szCs w:val="18"/>
        </w:rPr>
        <w:footnoteRef/>
      </w:r>
      <w:r w:rsidRPr="00191B41">
        <w:rPr>
          <w:rFonts w:ascii="Calibri" w:hAnsi="Calibri" w:cs="Calibri"/>
          <w:sz w:val="18"/>
          <w:szCs w:val="18"/>
        </w:rPr>
        <w:t xml:space="preserve"> The appropriate proceeding will depend on the timing of the submission. At the time of the filing, stakeholders may </w:t>
      </w:r>
      <w:r w:rsidRPr="00B75A80">
        <w:rPr>
          <w:rFonts w:ascii="Calibri" w:hAnsi="Calibri" w:cs="Calibri"/>
          <w:sz w:val="18"/>
          <w:szCs w:val="18"/>
        </w:rPr>
        <w:t>contact the PURA case coordinator to receive further guidance on the appropriate docket for submission.</w:t>
      </w:r>
    </w:p>
  </w:footnote>
  <w:footnote w:id="2">
    <w:p w14:paraId="3B9CBDD8" w14:textId="6EB6FE36" w:rsidR="00D23679" w:rsidRPr="005F39D4" w:rsidRDefault="00D23679" w:rsidP="0089396B">
      <w:pPr>
        <w:pStyle w:val="FootnoteText"/>
        <w:ind w:left="90" w:hanging="90"/>
        <w:rPr>
          <w:rFonts w:ascii="Calibri" w:hAnsi="Calibri" w:cs="Calibri"/>
          <w:sz w:val="18"/>
          <w:szCs w:val="18"/>
        </w:rPr>
      </w:pPr>
      <w:r w:rsidRPr="005F39D4">
        <w:rPr>
          <w:rStyle w:val="FootnoteReference"/>
          <w:rFonts w:ascii="Calibri" w:hAnsi="Calibri" w:cs="Calibri"/>
          <w:sz w:val="18"/>
          <w:szCs w:val="18"/>
        </w:rPr>
        <w:footnoteRef/>
      </w:r>
      <w:r w:rsidRPr="005F39D4">
        <w:rPr>
          <w:rFonts w:ascii="Calibri" w:hAnsi="Calibri" w:cs="Calibri"/>
          <w:sz w:val="18"/>
          <w:szCs w:val="18"/>
        </w:rPr>
        <w:t xml:space="preserve"> CGS 16-245m</w:t>
      </w:r>
      <w:r w:rsidR="00B75A80" w:rsidRPr="005F39D4">
        <w:rPr>
          <w:rFonts w:ascii="Calibri" w:hAnsi="Calibri" w:cs="Calibri"/>
          <w:sz w:val="18"/>
          <w:szCs w:val="18"/>
        </w:rPr>
        <w:t>(d)</w:t>
      </w:r>
      <w:r w:rsidRPr="005F39D4">
        <w:rPr>
          <w:rFonts w:ascii="Calibri" w:hAnsi="Calibri" w:cs="Calibri"/>
          <w:sz w:val="18"/>
          <w:szCs w:val="18"/>
        </w:rPr>
        <w:t>(2)</w:t>
      </w:r>
    </w:p>
  </w:footnote>
  <w:footnote w:id="3">
    <w:p w14:paraId="77B1A863" w14:textId="42BF85A8" w:rsidR="00D23679" w:rsidRPr="005F39D4" w:rsidRDefault="00D23679" w:rsidP="0089396B">
      <w:pPr>
        <w:pStyle w:val="FootnoteText"/>
        <w:ind w:left="90" w:hanging="90"/>
        <w:rPr>
          <w:rFonts w:ascii="Calibri" w:hAnsi="Calibri" w:cs="Calibri"/>
          <w:sz w:val="18"/>
          <w:szCs w:val="18"/>
        </w:rPr>
      </w:pPr>
      <w:r w:rsidRPr="005F39D4">
        <w:rPr>
          <w:rStyle w:val="FootnoteReference"/>
          <w:rFonts w:ascii="Calibri" w:hAnsi="Calibri" w:cs="Calibri"/>
          <w:sz w:val="18"/>
          <w:szCs w:val="18"/>
        </w:rPr>
        <w:footnoteRef/>
      </w:r>
      <w:r w:rsidRPr="005F39D4">
        <w:rPr>
          <w:rFonts w:ascii="Calibri" w:hAnsi="Calibri" w:cs="Calibri"/>
          <w:sz w:val="18"/>
          <w:szCs w:val="18"/>
        </w:rPr>
        <w:t xml:space="preserve"> Questions included: (1) what do you think of the concept (i.e., achieve more public policy), (2) would Subscribers have a choice in terms of (a) participation, and (b) use of Subscriber Savings for investment (e.g., arrearages, weatherization), (3) is there a different role for the EDCs where they could more efficiently direct SCEF proceeds to benefit the Subscriber (e.g., direct Subscriber Savings to C&amp;LM), (4) </w:t>
      </w:r>
      <w:r w:rsidR="00B75A80" w:rsidRPr="005F39D4">
        <w:rPr>
          <w:rFonts w:ascii="Calibri" w:hAnsi="Calibri" w:cs="Calibri"/>
          <w:sz w:val="18"/>
          <w:szCs w:val="18"/>
        </w:rPr>
        <w:t>are there other ways to think about this value that can provide more benefits to Subscribers (e.g., direct Subscriber Savings directly to Heat Loan), and (5) if this concept is supported and successful, will more demand for energy efficiency programs cause issues with the C&amp;LM budget?</w:t>
      </w:r>
    </w:p>
  </w:footnote>
  <w:footnote w:id="4">
    <w:p w14:paraId="13A873A6" w14:textId="3FE46FF2" w:rsidR="00B75A80" w:rsidRDefault="00B75A80" w:rsidP="0089396B">
      <w:pPr>
        <w:pStyle w:val="FootnoteText"/>
        <w:ind w:left="90" w:hanging="90"/>
      </w:pPr>
      <w:r w:rsidRPr="005F39D4">
        <w:rPr>
          <w:rStyle w:val="FootnoteReference"/>
          <w:rFonts w:ascii="Calibri" w:hAnsi="Calibri" w:cs="Calibri"/>
          <w:sz w:val="18"/>
          <w:szCs w:val="18"/>
        </w:rPr>
        <w:footnoteRef/>
      </w:r>
      <w:r w:rsidRPr="005F39D4">
        <w:rPr>
          <w:rFonts w:ascii="Calibri" w:hAnsi="Calibri" w:cs="Calibri"/>
          <w:sz w:val="18"/>
          <w:szCs w:val="18"/>
        </w:rPr>
        <w:t xml:space="preserve"> For presentation, see </w:t>
      </w:r>
      <w:r w:rsidR="0089396B" w:rsidRPr="005F39D4">
        <w:rPr>
          <w:rFonts w:ascii="Calibri" w:hAnsi="Calibri" w:cs="Calibri"/>
          <w:sz w:val="18"/>
          <w:szCs w:val="18"/>
        </w:rPr>
        <w:t>pages</w:t>
      </w:r>
      <w:r w:rsidRPr="005F39D4">
        <w:rPr>
          <w:rFonts w:ascii="Calibri" w:hAnsi="Calibri" w:cs="Calibri"/>
          <w:sz w:val="18"/>
          <w:szCs w:val="18"/>
        </w:rPr>
        <w:t xml:space="preserve"> 12 t</w:t>
      </w:r>
      <w:r w:rsidR="0089396B" w:rsidRPr="005F39D4">
        <w:rPr>
          <w:rFonts w:ascii="Calibri" w:hAnsi="Calibri" w:cs="Calibri"/>
          <w:sz w:val="18"/>
          <w:szCs w:val="18"/>
        </w:rPr>
        <w:t>o</w:t>
      </w:r>
      <w:r w:rsidRPr="005F39D4">
        <w:rPr>
          <w:rFonts w:ascii="Calibri" w:hAnsi="Calibri" w:cs="Calibri"/>
          <w:sz w:val="18"/>
          <w:szCs w:val="18"/>
        </w:rPr>
        <w:t xml:space="preserve"> 18 – </w:t>
      </w:r>
      <w:hyperlink r:id="rId1" w:history="1">
        <w:r w:rsidRPr="005F39D4">
          <w:rPr>
            <w:rStyle w:val="Hyperlink"/>
            <w:rFonts w:ascii="Calibri" w:hAnsi="Calibri" w:cs="Calibri"/>
            <w:sz w:val="18"/>
            <w:szCs w:val="18"/>
          </w:rPr>
          <w:t>click here</w:t>
        </w:r>
      </w:hyperlink>
      <w:r w:rsidRPr="005F39D4">
        <w:rPr>
          <w:rFonts w:ascii="Calibri" w:hAnsi="Calibri" w:cs="Calibri"/>
          <w:sz w:val="18"/>
          <w:szCs w:val="18"/>
        </w:rPr>
        <w:t xml:space="preserve">.  </w:t>
      </w:r>
      <w:r w:rsidR="0089396B" w:rsidRPr="005F39D4">
        <w:rPr>
          <w:rFonts w:ascii="Calibri" w:hAnsi="Calibri" w:cs="Calibri"/>
          <w:sz w:val="18"/>
          <w:szCs w:val="18"/>
        </w:rPr>
        <w:t>To listen to</w:t>
      </w:r>
      <w:r w:rsidRPr="005F39D4">
        <w:rPr>
          <w:rFonts w:ascii="Calibri" w:hAnsi="Calibri" w:cs="Calibri"/>
          <w:sz w:val="18"/>
          <w:szCs w:val="18"/>
        </w:rPr>
        <w:t xml:space="preserve"> recorded discussion, see 8:40 t</w:t>
      </w:r>
      <w:r w:rsidR="0089396B" w:rsidRPr="005F39D4">
        <w:rPr>
          <w:rFonts w:ascii="Calibri" w:hAnsi="Calibri" w:cs="Calibri"/>
          <w:sz w:val="18"/>
          <w:szCs w:val="18"/>
        </w:rPr>
        <w:t>o</w:t>
      </w:r>
      <w:r w:rsidRPr="005F39D4">
        <w:rPr>
          <w:rFonts w:ascii="Calibri" w:hAnsi="Calibri" w:cs="Calibri"/>
          <w:sz w:val="18"/>
          <w:szCs w:val="18"/>
        </w:rPr>
        <w:t xml:space="preserve"> 53:20 – </w:t>
      </w:r>
      <w:hyperlink r:id="rId2" w:history="1">
        <w:r w:rsidRPr="005F39D4">
          <w:rPr>
            <w:rStyle w:val="Hyperlink"/>
            <w:rFonts w:ascii="Calibri" w:hAnsi="Calibri" w:cs="Calibri"/>
            <w:sz w:val="18"/>
            <w:szCs w:val="18"/>
          </w:rPr>
          <w:t xml:space="preserve">click </w:t>
        </w:r>
        <w:r w:rsidR="0089396B" w:rsidRPr="005F39D4">
          <w:rPr>
            <w:rStyle w:val="Hyperlink"/>
            <w:rFonts w:ascii="Calibri" w:hAnsi="Calibri" w:cs="Calibri"/>
            <w:sz w:val="18"/>
            <w:szCs w:val="18"/>
          </w:rPr>
          <w:t>here</w:t>
        </w:r>
      </w:hyperlink>
      <w:r w:rsidR="0089396B" w:rsidRPr="005F39D4">
        <w:rPr>
          <w:rFonts w:ascii="Calibri" w:hAnsi="Calibri" w:cs="Calibri"/>
          <w:sz w:val="18"/>
          <w:szCs w:val="18"/>
        </w:rPr>
        <w:t>.</w:t>
      </w:r>
      <w:r w:rsidR="0089396B">
        <w:rPr>
          <w:rFonts w:ascii="Calibri" w:hAnsi="Calibri" w:cs="Calibri"/>
          <w:sz w:val="18"/>
          <w:szCs w:val="18"/>
        </w:rPr>
        <w:t xml:space="preserve">  </w:t>
      </w:r>
    </w:p>
  </w:footnote>
  <w:footnote w:id="5">
    <w:p w14:paraId="67029BA1" w14:textId="4FC512C5" w:rsidR="00867E29" w:rsidRPr="005F39D4" w:rsidRDefault="00867E29">
      <w:pPr>
        <w:pStyle w:val="FootnoteText"/>
        <w:rPr>
          <w:rFonts w:ascii="Calibri" w:hAnsi="Calibri" w:cs="Calibri"/>
          <w:sz w:val="18"/>
          <w:szCs w:val="18"/>
        </w:rPr>
      </w:pPr>
      <w:r w:rsidRPr="00867E29">
        <w:rPr>
          <w:rStyle w:val="FootnoteReference"/>
          <w:rFonts w:ascii="Calibri" w:hAnsi="Calibri" w:cs="Calibri"/>
          <w:sz w:val="18"/>
          <w:szCs w:val="18"/>
        </w:rPr>
        <w:footnoteRef/>
      </w:r>
      <w:r w:rsidRPr="00867E29">
        <w:rPr>
          <w:rFonts w:ascii="Calibri" w:hAnsi="Calibri" w:cs="Calibri"/>
          <w:sz w:val="18"/>
          <w:szCs w:val="18"/>
        </w:rPr>
        <w:t xml:space="preserve"> Assumes 50% solar PV and 50% fuel cell composition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87B39" w14:textId="77777777" w:rsidR="00E970E3" w:rsidRDefault="00E970E3">
    <w:pPr>
      <w:pStyle w:val="Header"/>
    </w:pPr>
    <w:r>
      <w:rPr>
        <w:noProof/>
      </w:rPr>
      <w:drawing>
        <wp:anchor distT="0" distB="0" distL="114300" distR="114300" simplePos="0" relativeHeight="251658240" behindDoc="1" locked="0" layoutInCell="1" allowOverlap="1" wp14:anchorId="5C802288" wp14:editId="5FCEE169">
          <wp:simplePos x="0" y="0"/>
          <wp:positionH relativeFrom="column">
            <wp:posOffset>-843279</wp:posOffset>
          </wp:positionH>
          <wp:positionV relativeFrom="paragraph">
            <wp:posOffset>-463550</wp:posOffset>
          </wp:positionV>
          <wp:extent cx="7237211" cy="1532586"/>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37211" cy="1532586"/>
                  </a:xfrm>
                  <a:prstGeom prst="rect">
                    <a:avLst/>
                  </a:prstGeom>
                </pic:spPr>
              </pic:pic>
            </a:graphicData>
          </a:graphic>
          <wp14:sizeRelH relativeFrom="margin">
            <wp14:pctWidth>0</wp14:pctWidth>
          </wp14:sizeRelH>
        </wp:anchor>
      </w:drawing>
    </w:r>
  </w:p>
  <w:p w14:paraId="216BFDD2" w14:textId="77777777" w:rsidR="00E970E3" w:rsidRDefault="00E97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E0784"/>
    <w:multiLevelType w:val="hybridMultilevel"/>
    <w:tmpl w:val="22F0A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95965"/>
    <w:multiLevelType w:val="hybridMultilevel"/>
    <w:tmpl w:val="69AC83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DF"/>
    <w:rsid w:val="00030375"/>
    <w:rsid w:val="000471E5"/>
    <w:rsid w:val="00081B03"/>
    <w:rsid w:val="000A5625"/>
    <w:rsid w:val="000A7A33"/>
    <w:rsid w:val="0010000A"/>
    <w:rsid w:val="00103CE6"/>
    <w:rsid w:val="0012520E"/>
    <w:rsid w:val="00191B41"/>
    <w:rsid w:val="00192F11"/>
    <w:rsid w:val="001A2B40"/>
    <w:rsid w:val="001B3F31"/>
    <w:rsid w:val="001E4D4C"/>
    <w:rsid w:val="001F58B6"/>
    <w:rsid w:val="00217C99"/>
    <w:rsid w:val="002309DE"/>
    <w:rsid w:val="0024495E"/>
    <w:rsid w:val="00255254"/>
    <w:rsid w:val="00270911"/>
    <w:rsid w:val="00280F20"/>
    <w:rsid w:val="00282DB2"/>
    <w:rsid w:val="002A1331"/>
    <w:rsid w:val="002B1EFE"/>
    <w:rsid w:val="003203D6"/>
    <w:rsid w:val="0037296E"/>
    <w:rsid w:val="003B2EE5"/>
    <w:rsid w:val="003B4461"/>
    <w:rsid w:val="003C4663"/>
    <w:rsid w:val="00451E39"/>
    <w:rsid w:val="00467B30"/>
    <w:rsid w:val="00486219"/>
    <w:rsid w:val="004E4F92"/>
    <w:rsid w:val="004F5D57"/>
    <w:rsid w:val="00523103"/>
    <w:rsid w:val="00523E07"/>
    <w:rsid w:val="00574BEF"/>
    <w:rsid w:val="00591FD6"/>
    <w:rsid w:val="005F2790"/>
    <w:rsid w:val="005F39D4"/>
    <w:rsid w:val="00633ACB"/>
    <w:rsid w:val="00673E15"/>
    <w:rsid w:val="006820E4"/>
    <w:rsid w:val="00694F54"/>
    <w:rsid w:val="006A6F2A"/>
    <w:rsid w:val="006B707D"/>
    <w:rsid w:val="006D61A2"/>
    <w:rsid w:val="006D6FDF"/>
    <w:rsid w:val="00740DD8"/>
    <w:rsid w:val="007625E4"/>
    <w:rsid w:val="0076738F"/>
    <w:rsid w:val="00772CF2"/>
    <w:rsid w:val="007774F0"/>
    <w:rsid w:val="007B11BD"/>
    <w:rsid w:val="007B217E"/>
    <w:rsid w:val="007B2EF7"/>
    <w:rsid w:val="007D3E2B"/>
    <w:rsid w:val="00837920"/>
    <w:rsid w:val="008462CE"/>
    <w:rsid w:val="008612F7"/>
    <w:rsid w:val="00867E29"/>
    <w:rsid w:val="0089396B"/>
    <w:rsid w:val="008978D6"/>
    <w:rsid w:val="008D6213"/>
    <w:rsid w:val="008E32B2"/>
    <w:rsid w:val="0090205F"/>
    <w:rsid w:val="0094271C"/>
    <w:rsid w:val="00A341E0"/>
    <w:rsid w:val="00A52256"/>
    <w:rsid w:val="00AB18A7"/>
    <w:rsid w:val="00AB2596"/>
    <w:rsid w:val="00AE2717"/>
    <w:rsid w:val="00AE5DDC"/>
    <w:rsid w:val="00B0719A"/>
    <w:rsid w:val="00B270E3"/>
    <w:rsid w:val="00B3773E"/>
    <w:rsid w:val="00B62404"/>
    <w:rsid w:val="00B75A80"/>
    <w:rsid w:val="00B869BD"/>
    <w:rsid w:val="00B86AE9"/>
    <w:rsid w:val="00BB69B2"/>
    <w:rsid w:val="00BC4C4E"/>
    <w:rsid w:val="00BE73B8"/>
    <w:rsid w:val="00C10137"/>
    <w:rsid w:val="00C2297D"/>
    <w:rsid w:val="00C41958"/>
    <w:rsid w:val="00C82634"/>
    <w:rsid w:val="00C90039"/>
    <w:rsid w:val="00CC2D1E"/>
    <w:rsid w:val="00CD0C62"/>
    <w:rsid w:val="00D23679"/>
    <w:rsid w:val="00D51C83"/>
    <w:rsid w:val="00E00249"/>
    <w:rsid w:val="00E03DE4"/>
    <w:rsid w:val="00E1013E"/>
    <w:rsid w:val="00E2720B"/>
    <w:rsid w:val="00E7372D"/>
    <w:rsid w:val="00E763C0"/>
    <w:rsid w:val="00E90969"/>
    <w:rsid w:val="00E92D01"/>
    <w:rsid w:val="00E96327"/>
    <w:rsid w:val="00E970E3"/>
    <w:rsid w:val="00EA21C8"/>
    <w:rsid w:val="00EA28AA"/>
    <w:rsid w:val="00ED58E4"/>
    <w:rsid w:val="00EE6379"/>
    <w:rsid w:val="00EF4399"/>
    <w:rsid w:val="00F23B8A"/>
    <w:rsid w:val="00F3668A"/>
    <w:rsid w:val="00F54DD2"/>
    <w:rsid w:val="00F61C11"/>
    <w:rsid w:val="00F644E1"/>
    <w:rsid w:val="00FB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D0421"/>
  <w15:docId w15:val="{8A89136D-04ED-4E3E-ACF4-F412B71C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1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E3"/>
  </w:style>
  <w:style w:type="paragraph" w:styleId="Footer">
    <w:name w:val="footer"/>
    <w:basedOn w:val="Normal"/>
    <w:link w:val="FooterChar"/>
    <w:uiPriority w:val="99"/>
    <w:unhideWhenUsed/>
    <w:rsid w:val="00E97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E3"/>
  </w:style>
  <w:style w:type="paragraph" w:styleId="BalloonText">
    <w:name w:val="Balloon Text"/>
    <w:basedOn w:val="Normal"/>
    <w:link w:val="BalloonTextChar"/>
    <w:uiPriority w:val="99"/>
    <w:semiHidden/>
    <w:unhideWhenUsed/>
    <w:rsid w:val="00E97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E3"/>
    <w:rPr>
      <w:rFonts w:ascii="Tahoma" w:hAnsi="Tahoma" w:cs="Tahoma"/>
      <w:sz w:val="16"/>
      <w:szCs w:val="16"/>
    </w:rPr>
  </w:style>
  <w:style w:type="paragraph" w:styleId="BodyText">
    <w:name w:val="Body Text"/>
    <w:basedOn w:val="Normal"/>
    <w:link w:val="BodyTextChar"/>
    <w:rsid w:val="00AB2596"/>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AB2596"/>
    <w:rPr>
      <w:rFonts w:ascii="Arial" w:eastAsia="Times New Roman" w:hAnsi="Arial" w:cs="Times New Roman"/>
      <w:spacing w:val="-5"/>
      <w:sz w:val="20"/>
      <w:szCs w:val="20"/>
    </w:rPr>
  </w:style>
  <w:style w:type="paragraph" w:customStyle="1" w:styleId="DocumentLabel">
    <w:name w:val="Document Label"/>
    <w:basedOn w:val="Normal"/>
    <w:next w:val="Normal"/>
    <w:rsid w:val="00AB2596"/>
    <w:pPr>
      <w:keepNext/>
      <w:keepLines/>
      <w:spacing w:before="400" w:after="120" w:line="240" w:lineRule="atLeast"/>
      <w:ind w:left="-840"/>
    </w:pPr>
    <w:rPr>
      <w:rFonts w:ascii="Arial Black" w:eastAsia="Times New Roman" w:hAnsi="Arial Black" w:cs="Times New Roman"/>
      <w:spacing w:val="-5"/>
      <w:kern w:val="28"/>
      <w:sz w:val="96"/>
      <w:szCs w:val="20"/>
    </w:rPr>
  </w:style>
  <w:style w:type="paragraph" w:styleId="MessageHeader">
    <w:name w:val="Message Header"/>
    <w:basedOn w:val="BodyText"/>
    <w:link w:val="MessageHeaderChar"/>
    <w:rsid w:val="00AB2596"/>
    <w:pPr>
      <w:keepLines/>
      <w:spacing w:after="120"/>
      <w:ind w:left="720" w:hanging="720"/>
      <w:jc w:val="left"/>
    </w:pPr>
  </w:style>
  <w:style w:type="character" w:customStyle="1" w:styleId="MessageHeaderChar">
    <w:name w:val="Message Header Char"/>
    <w:basedOn w:val="DefaultParagraphFont"/>
    <w:link w:val="MessageHeader"/>
    <w:rsid w:val="00AB2596"/>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AB2596"/>
    <w:pPr>
      <w:spacing w:before="220"/>
    </w:pPr>
  </w:style>
  <w:style w:type="character" w:customStyle="1" w:styleId="MessageHeaderLabel">
    <w:name w:val="Message Header Label"/>
    <w:rsid w:val="00AB2596"/>
    <w:rPr>
      <w:rFonts w:ascii="Arial Black" w:hAnsi="Arial Black"/>
      <w:spacing w:val="-10"/>
      <w:sz w:val="18"/>
    </w:rPr>
  </w:style>
  <w:style w:type="paragraph" w:customStyle="1" w:styleId="MessageHeaderLast">
    <w:name w:val="Message Header Last"/>
    <w:basedOn w:val="MessageHeader"/>
    <w:next w:val="BodyText"/>
    <w:rsid w:val="00AB2596"/>
    <w:pPr>
      <w:pBdr>
        <w:bottom w:val="single" w:sz="6" w:space="15" w:color="auto"/>
      </w:pBdr>
      <w:spacing w:after="320"/>
    </w:pPr>
  </w:style>
  <w:style w:type="character" w:styleId="PlaceholderText">
    <w:name w:val="Placeholder Text"/>
    <w:basedOn w:val="DefaultParagraphFont"/>
    <w:uiPriority w:val="99"/>
    <w:semiHidden/>
    <w:rsid w:val="00AB2596"/>
    <w:rPr>
      <w:color w:val="808080"/>
    </w:rPr>
  </w:style>
  <w:style w:type="character" w:customStyle="1" w:styleId="Heading1Char">
    <w:name w:val="Heading 1 Char"/>
    <w:basedOn w:val="DefaultParagraphFont"/>
    <w:link w:val="Heading1"/>
    <w:uiPriority w:val="9"/>
    <w:rsid w:val="007B217E"/>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7B217E"/>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7B217E"/>
    <w:rPr>
      <w:rFonts w:eastAsiaTheme="minorHAnsi"/>
      <w:sz w:val="20"/>
      <w:szCs w:val="20"/>
    </w:rPr>
  </w:style>
  <w:style w:type="character" w:styleId="FootnoteReference">
    <w:name w:val="footnote reference"/>
    <w:basedOn w:val="DefaultParagraphFont"/>
    <w:uiPriority w:val="99"/>
    <w:semiHidden/>
    <w:unhideWhenUsed/>
    <w:rsid w:val="007B217E"/>
    <w:rPr>
      <w:vertAlign w:val="superscript"/>
    </w:rPr>
  </w:style>
  <w:style w:type="paragraph" w:styleId="NormalWeb">
    <w:name w:val="Normal (Web)"/>
    <w:basedOn w:val="Normal"/>
    <w:uiPriority w:val="99"/>
    <w:unhideWhenUsed/>
    <w:rsid w:val="000A7A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73E15"/>
    <w:rPr>
      <w:sz w:val="16"/>
      <w:szCs w:val="16"/>
    </w:rPr>
  </w:style>
  <w:style w:type="paragraph" w:styleId="CommentText">
    <w:name w:val="annotation text"/>
    <w:basedOn w:val="Normal"/>
    <w:link w:val="CommentTextChar"/>
    <w:uiPriority w:val="99"/>
    <w:unhideWhenUsed/>
    <w:rsid w:val="00673E1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673E15"/>
    <w:rPr>
      <w:rFonts w:eastAsiaTheme="minorHAnsi"/>
      <w:sz w:val="20"/>
      <w:szCs w:val="20"/>
    </w:rPr>
  </w:style>
  <w:style w:type="paragraph" w:styleId="ListParagraph">
    <w:name w:val="List Paragraph"/>
    <w:basedOn w:val="Normal"/>
    <w:uiPriority w:val="34"/>
    <w:qFormat/>
    <w:rsid w:val="00191B41"/>
    <w:pPr>
      <w:ind w:left="720"/>
      <w:contextualSpacing/>
    </w:pPr>
  </w:style>
  <w:style w:type="character" w:styleId="Hyperlink">
    <w:name w:val="Hyperlink"/>
    <w:basedOn w:val="DefaultParagraphFont"/>
    <w:uiPriority w:val="99"/>
    <w:unhideWhenUsed/>
    <w:rsid w:val="00B75A80"/>
    <w:rPr>
      <w:color w:val="0000FF" w:themeColor="hyperlink"/>
      <w:u w:val="single"/>
    </w:rPr>
  </w:style>
  <w:style w:type="character" w:styleId="UnresolvedMention">
    <w:name w:val="Unresolved Mention"/>
    <w:basedOn w:val="DefaultParagraphFont"/>
    <w:uiPriority w:val="99"/>
    <w:semiHidden/>
    <w:unhideWhenUsed/>
    <w:rsid w:val="00B75A80"/>
    <w:rPr>
      <w:color w:val="605E5C"/>
      <w:shd w:val="clear" w:color="auto" w:fill="E1DFDD"/>
    </w:rPr>
  </w:style>
  <w:style w:type="table" w:styleId="TableGrid">
    <w:name w:val="Table Grid"/>
    <w:basedOn w:val="TableNormal"/>
    <w:uiPriority w:val="59"/>
    <w:rsid w:val="00255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296E"/>
    <w:pPr>
      <w:spacing w:line="240" w:lineRule="auto"/>
    </w:pPr>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C82634"/>
    <w:rPr>
      <w:rFonts w:eastAsiaTheme="minorEastAsia"/>
      <w:b/>
      <w:bCs/>
    </w:rPr>
  </w:style>
  <w:style w:type="character" w:customStyle="1" w:styleId="CommentSubjectChar">
    <w:name w:val="Comment Subject Char"/>
    <w:basedOn w:val="CommentTextChar"/>
    <w:link w:val="CommentSubject"/>
    <w:uiPriority w:val="99"/>
    <w:semiHidden/>
    <w:rsid w:val="00C82634"/>
    <w:rPr>
      <w:rFonts w:eastAsiaTheme="minorHAnsi"/>
      <w:b/>
      <w:bCs/>
      <w:sz w:val="20"/>
      <w:szCs w:val="20"/>
    </w:rPr>
  </w:style>
  <w:style w:type="paragraph" w:styleId="Revision">
    <w:name w:val="Revision"/>
    <w:hidden/>
    <w:uiPriority w:val="99"/>
    <w:semiHidden/>
    <w:rsid w:val="00F64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249861">
      <w:bodyDiv w:val="1"/>
      <w:marLeft w:val="0"/>
      <w:marRight w:val="0"/>
      <w:marTop w:val="0"/>
      <w:marBottom w:val="0"/>
      <w:divBdr>
        <w:top w:val="none" w:sz="0" w:space="0" w:color="auto"/>
        <w:left w:val="none" w:sz="0" w:space="0" w:color="auto"/>
        <w:bottom w:val="none" w:sz="0" w:space="0" w:color="auto"/>
        <w:right w:val="none" w:sz="0" w:space="0" w:color="auto"/>
      </w:divBdr>
    </w:div>
    <w:div w:id="754477027">
      <w:bodyDiv w:val="1"/>
      <w:marLeft w:val="0"/>
      <w:marRight w:val="0"/>
      <w:marTop w:val="0"/>
      <w:marBottom w:val="0"/>
      <w:divBdr>
        <w:top w:val="none" w:sz="0" w:space="0" w:color="auto"/>
        <w:left w:val="none" w:sz="0" w:space="0" w:color="auto"/>
        <w:bottom w:val="none" w:sz="0" w:space="0" w:color="auto"/>
        <w:right w:val="none" w:sz="0" w:space="0" w:color="auto"/>
      </w:divBdr>
    </w:div>
    <w:div w:id="1791435471">
      <w:bodyDiv w:val="1"/>
      <w:marLeft w:val="0"/>
      <w:marRight w:val="0"/>
      <w:marTop w:val="0"/>
      <w:marBottom w:val="0"/>
      <w:divBdr>
        <w:top w:val="none" w:sz="0" w:space="0" w:color="auto"/>
        <w:left w:val="none" w:sz="0" w:space="0" w:color="auto"/>
        <w:bottom w:val="none" w:sz="0" w:space="0" w:color="auto"/>
        <w:right w:val="none" w:sz="0" w:space="0" w:color="auto"/>
      </w:divBdr>
    </w:div>
    <w:div w:id="18845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KZqW0vuz7_4" TargetMode="External"/><Relationship Id="rId1" Type="http://schemas.openxmlformats.org/officeDocument/2006/relationships/hyperlink" Target="https://www.ctgreenbank.com/wp-content/uploads/2022/07/joint-committee-of-the-ct-energy-efficiency-board-and-the-connecticut-green-bank-board-of-directors_0629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AC0FACBBE1146B12DA740BA2667F2" ma:contentTypeVersion="11" ma:contentTypeDescription="Create a new document." ma:contentTypeScope="" ma:versionID="16b5dd2a32bc328749ce4dd93e66e25e">
  <xsd:schema xmlns:xsd="http://www.w3.org/2001/XMLSchema" xmlns:xs="http://www.w3.org/2001/XMLSchema" xmlns:p="http://schemas.microsoft.com/office/2006/metadata/properties" xmlns:ns1="http://schemas.microsoft.com/sharepoint/v3" xmlns:ns2="8a9a65a0-497c-4918-ad00-35268c246b17" xmlns:ns3="0f15281a-4c64-422d-8b86-4a374dd6bdb5" targetNamespace="http://schemas.microsoft.com/office/2006/metadata/properties" ma:root="true" ma:fieldsID="3a9c354b9c9b44b798bd0d4cdc10bc19" ns1:_="" ns2:_="" ns3:_="">
    <xsd:import namespace="http://schemas.microsoft.com/sharepoint/v3"/>
    <xsd:import namespace="8a9a65a0-497c-4918-ad00-35268c246b17"/>
    <xsd:import namespace="0f15281a-4c64-422d-8b86-4a374dd6bd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a65a0-497c-4918-ad00-35268c246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5281a-4c64-422d-8b86-4a374dd6bd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f15281a-4c64-422d-8b86-4a374dd6bdb5">
      <UserInfo>
        <DisplayName>Belden, Andrew C</DisplayName>
        <AccountId>15</AccountId>
        <AccountType/>
      </UserInfo>
      <UserInfo>
        <DisplayName>Hazlewood, Isabelle M</DisplayName>
        <AccountId>482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44918-214C-47D1-AA22-16F84582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9a65a0-497c-4918-ad00-35268c246b17"/>
    <ds:schemaRef ds:uri="0f15281a-4c64-422d-8b86-4a374dd6b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1A141-4E87-4553-86E6-11A4D1285262}">
  <ds:schemaRefs>
    <ds:schemaRef ds:uri="http://schemas.microsoft.com/sharepoint/v3/contenttype/forms"/>
  </ds:schemaRefs>
</ds:datastoreItem>
</file>

<file path=customXml/itemProps3.xml><?xml version="1.0" encoding="utf-8"?>
<ds:datastoreItem xmlns:ds="http://schemas.openxmlformats.org/officeDocument/2006/customXml" ds:itemID="{788BD78A-3016-4D4B-A341-1684DA37315F}">
  <ds:schemaRefs>
    <ds:schemaRef ds:uri="http://schemas.microsoft.com/office/2006/metadata/properties"/>
    <ds:schemaRef ds:uri="http://schemas.microsoft.com/office/infopath/2007/PartnerControls"/>
    <ds:schemaRef ds:uri="http://schemas.microsoft.com/sharepoint/v3"/>
    <ds:schemaRef ds:uri="0f15281a-4c64-422d-8b86-4a374dd6bdb5"/>
  </ds:schemaRefs>
</ds:datastoreItem>
</file>

<file path=customXml/itemProps4.xml><?xml version="1.0" encoding="utf-8"?>
<ds:datastoreItem xmlns:ds="http://schemas.openxmlformats.org/officeDocument/2006/customXml" ds:itemID="{76C8BA41-CAA1-4A86-A7A1-DA85BD75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 Murphy</dc:creator>
  <cp:lastModifiedBy>Alex Kovtunenko</cp:lastModifiedBy>
  <cp:revision>2</cp:revision>
  <cp:lastPrinted>2022-07-21T18:59:00Z</cp:lastPrinted>
  <dcterms:created xsi:type="dcterms:W3CDTF">2022-08-01T20:40:00Z</dcterms:created>
  <dcterms:modified xsi:type="dcterms:W3CDTF">2022-08-01T20:40:00Z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0x01010064EAC0FACBBE1146B12DA740BA2667F2</vt:lpwstr>
  </property>
  <property fmtid="{D5CDD505-2E9C-101B-9397-08002B2CF9AE}" pid="3" name="MSIP_Label_019c027e-33b7-45fc-a572-8ffa5d09ec36_Enabled">
    <vt:lpwstr>true</vt:lpwstr>
  </property>
  <property fmtid="{D5CDD505-2E9C-101B-9397-08002B2CF9AE}" pid="4" name="MSIP_Label_019c027e-33b7-45fc-a572-8ffa5d09ec36_SetDate">
    <vt:lpwstr>2022-07-26T10:58:56Z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818045ac-451e-4d6a-ab45-53ba47bdad06</vt:lpwstr>
  </property>
  <property fmtid="{D5CDD505-2E9C-101B-9397-08002B2CF9AE}" pid="9" name="MSIP_Label_019c027e-33b7-45fc-a572-8ffa5d09ec36_ContentBits">
    <vt:lpwstr>2</vt:lpwstr>
  </property>
  <property fmtid="{D5CDD505-2E9C-101B-9397-08002B2CF9AE}" pid="10" name="_NewReviewCycle">
    <vt:lpwstr/>
  </property>
</Properties>
</file>