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3DF8" w:rsidP="769D39E1" w:rsidRDefault="006C0F86" w14:paraId="3D64D8A9" w14:textId="127A6266">
      <w:pPr>
        <w:pStyle w:val="Heading2"/>
        <w:spacing w:beforeAutospacing="1" w:after="120" w:line="276" w:lineRule="auto"/>
        <w:ind w:left="0"/>
        <w:jc w:val="center"/>
        <w:rPr>
          <w:sz w:val="32"/>
          <w:szCs w:val="32"/>
        </w:rPr>
      </w:pPr>
      <w:bookmarkStart w:name="_Toc79146580" w:id="0"/>
      <w:bookmarkStart w:name="_Toc79146581" w:id="1"/>
      <w:r w:rsidRPr="769D39E1">
        <w:rPr>
          <w:sz w:val="32"/>
          <w:szCs w:val="32"/>
        </w:rPr>
        <w:t>Connecticut Energy Efficiency Board (EEB)</w:t>
      </w:r>
      <w:bookmarkEnd w:id="0"/>
      <w:r w:rsidRPr="769D39E1">
        <w:rPr>
          <w:sz w:val="32"/>
          <w:szCs w:val="32"/>
        </w:rPr>
        <w:t xml:space="preserve"> </w:t>
      </w:r>
    </w:p>
    <w:p w:rsidR="00513DF8" w:rsidP="00513DF8" w:rsidRDefault="00513DF8" w14:paraId="4CBF295A" w14:textId="77777777">
      <w:pPr>
        <w:pStyle w:val="Heading2"/>
        <w:spacing w:beforeAutospacing="1" w:after="120" w:line="276" w:lineRule="auto"/>
        <w:ind w:left="0"/>
        <w:jc w:val="center"/>
        <w:rPr>
          <w:sz w:val="32"/>
          <w:szCs w:val="32"/>
        </w:rPr>
      </w:pPr>
      <w:r w:rsidRPr="769D39E1">
        <w:rPr>
          <w:sz w:val="28"/>
          <w:szCs w:val="28"/>
        </w:rPr>
        <w:t>Request for Proposals (RFP)</w:t>
      </w:r>
    </w:p>
    <w:p w:rsidR="001F6D17" w:rsidP="00513DF8" w:rsidRDefault="001F6D17" w14:paraId="0802D673" w14:textId="46FED89B">
      <w:pPr>
        <w:pStyle w:val="Heading2"/>
        <w:spacing w:beforeAutospacing="1" w:after="120" w:line="276" w:lineRule="auto"/>
        <w:ind w:left="0"/>
        <w:jc w:val="center"/>
        <w:rPr>
          <w:sz w:val="32"/>
          <w:szCs w:val="32"/>
        </w:rPr>
      </w:pPr>
      <w:r w:rsidRPr="769D39E1">
        <w:rPr>
          <w:sz w:val="32"/>
          <w:szCs w:val="32"/>
        </w:rPr>
        <w:t>Consultant on Diversity, Equity, and Inclusion</w:t>
      </w:r>
      <w:bookmarkEnd w:id="1"/>
      <w:r w:rsidRPr="769D39E1" w:rsidR="006C0F86">
        <w:rPr>
          <w:sz w:val="32"/>
          <w:szCs w:val="32"/>
        </w:rPr>
        <w:t xml:space="preserve"> </w:t>
      </w:r>
      <w:r w:rsidRPr="00513DF8" w:rsidR="00513DF8">
        <w:rPr>
          <w:sz w:val="32"/>
          <w:szCs w:val="32"/>
        </w:rPr>
        <w:t>to the CT Energy Efficiency Board</w:t>
      </w:r>
    </w:p>
    <w:p w:rsidRPr="00F7037D" w:rsidR="00F7037D" w:rsidP="00F7037D" w:rsidRDefault="00F7037D" w14:paraId="6A095286" w14:textId="77777777"/>
    <w:p w:rsidRPr="001718EB" w:rsidR="001718EB" w:rsidP="001718EB" w:rsidRDefault="001718EB" w14:paraId="18D4ECF3" w14:textId="77777777"/>
    <w:sdt>
      <w:sdtPr>
        <w:rPr>
          <w:rFonts w:asciiTheme="minorHAnsi" w:hAnsiTheme="minorHAnsi" w:eastAsiaTheme="minorHAnsi" w:cstheme="minorBidi"/>
          <w:b w:val="0"/>
          <w:bCs w:val="0"/>
          <w:color w:val="auto"/>
          <w:sz w:val="22"/>
          <w:szCs w:val="22"/>
        </w:rPr>
        <w:id w:val="-69815133"/>
        <w:docPartObj>
          <w:docPartGallery w:val="Table of Contents"/>
          <w:docPartUnique/>
        </w:docPartObj>
      </w:sdtPr>
      <w:sdtEndPr>
        <w:rPr>
          <w:noProof/>
        </w:rPr>
      </w:sdtEndPr>
      <w:sdtContent>
        <w:p w:rsidRPr="001718EB" w:rsidR="00D3490B" w:rsidP="001718EB" w:rsidRDefault="00D3490B" w14:paraId="1F6CE285" w14:textId="4C1FAA6F">
          <w:pPr>
            <w:pStyle w:val="TOCHeading"/>
            <w:rPr>
              <w:rStyle w:val="Heading1Char"/>
              <w:rFonts w:eastAsiaTheme="majorEastAsia"/>
              <w:noProof/>
            </w:rPr>
          </w:pPr>
          <w:r w:rsidRPr="001718EB">
            <w:rPr>
              <w:rStyle w:val="Heading1Char"/>
              <w:rFonts w:eastAsiaTheme="majorEastAsia"/>
            </w:rPr>
            <w:t>Table of Contents</w:t>
          </w:r>
          <w:r w:rsidRPr="00D3490B">
            <w:rPr>
              <w:rStyle w:val="Heading1Char"/>
              <w:rFonts w:eastAsiaTheme="majorEastAsia"/>
            </w:rPr>
            <w:fldChar w:fldCharType="begin"/>
          </w:r>
          <w:r w:rsidRPr="001718EB">
            <w:rPr>
              <w:rStyle w:val="Heading1Char"/>
              <w:rFonts w:eastAsiaTheme="majorEastAsia"/>
            </w:rPr>
            <w:instrText xml:space="preserve"> TOC \o "1-3" \h \z \u </w:instrText>
          </w:r>
          <w:r w:rsidRPr="00D3490B">
            <w:rPr>
              <w:rStyle w:val="Heading1Char"/>
              <w:rFonts w:eastAsiaTheme="majorEastAsia"/>
            </w:rPr>
            <w:fldChar w:fldCharType="separate"/>
          </w:r>
        </w:p>
        <w:p w:rsidRPr="001718EB" w:rsidR="00D3490B" w:rsidRDefault="00184EE6" w14:paraId="003F7300" w14:textId="0517F922">
          <w:pPr>
            <w:pStyle w:val="TOC1"/>
            <w:tabs>
              <w:tab w:val="right" w:leader="dot" w:pos="9350"/>
            </w:tabs>
            <w:rPr>
              <w:rFonts w:ascii="Calibri" w:hAnsi="Calibri" w:cs="Arial"/>
              <w:i w:val="0"/>
              <w:iCs w:val="0"/>
              <w:noProof/>
              <w:sz w:val="21"/>
              <w:szCs w:val="21"/>
            </w:rPr>
          </w:pPr>
          <w:hyperlink w:history="1" w:anchor="_Toc79146582">
            <w:r w:rsidRPr="001718EB" w:rsidR="00D3490B">
              <w:rPr>
                <w:rStyle w:val="Hyperlink"/>
                <w:rFonts w:ascii="Calibri" w:hAnsi="Calibri" w:cs="Arial"/>
                <w:i w:val="0"/>
                <w:iCs w:val="0"/>
                <w:noProof/>
                <w:sz w:val="21"/>
                <w:szCs w:val="21"/>
              </w:rPr>
              <w:t>GENERAL INFORMATION</w:t>
            </w:r>
            <w:r w:rsidRPr="001718EB" w:rsidR="00D3490B">
              <w:rPr>
                <w:rFonts w:ascii="Calibri" w:hAnsi="Calibri" w:cs="Arial"/>
                <w:i w:val="0"/>
                <w:iCs w:val="0"/>
                <w:noProof/>
                <w:webHidden/>
                <w:sz w:val="21"/>
                <w:szCs w:val="21"/>
              </w:rPr>
              <w:tab/>
            </w:r>
            <w:r w:rsidRPr="001718EB" w:rsidR="00D3490B">
              <w:rPr>
                <w:rFonts w:ascii="Calibri" w:hAnsi="Calibri" w:cs="Arial"/>
                <w:i w:val="0"/>
                <w:iCs w:val="0"/>
                <w:noProof/>
                <w:webHidden/>
                <w:sz w:val="21"/>
                <w:szCs w:val="21"/>
              </w:rPr>
              <w:fldChar w:fldCharType="begin"/>
            </w:r>
            <w:r w:rsidRPr="001718EB" w:rsidR="00D3490B">
              <w:rPr>
                <w:rFonts w:ascii="Calibri" w:hAnsi="Calibri" w:cs="Arial"/>
                <w:i w:val="0"/>
                <w:iCs w:val="0"/>
                <w:noProof/>
                <w:webHidden/>
                <w:sz w:val="21"/>
                <w:szCs w:val="21"/>
              </w:rPr>
              <w:instrText xml:space="preserve"> PAGEREF _Toc79146582 \h </w:instrText>
            </w:r>
            <w:r w:rsidRPr="001718EB" w:rsidR="00D3490B">
              <w:rPr>
                <w:rFonts w:ascii="Calibri" w:hAnsi="Calibri" w:cs="Arial"/>
                <w:i w:val="0"/>
                <w:iCs w:val="0"/>
                <w:noProof/>
                <w:webHidden/>
                <w:sz w:val="21"/>
                <w:szCs w:val="21"/>
              </w:rPr>
            </w:r>
            <w:r w:rsidRPr="001718EB" w:rsidR="00D3490B">
              <w:rPr>
                <w:rFonts w:ascii="Calibri" w:hAnsi="Calibri" w:cs="Arial"/>
                <w:i w:val="0"/>
                <w:iCs w:val="0"/>
                <w:noProof/>
                <w:webHidden/>
                <w:sz w:val="21"/>
                <w:szCs w:val="21"/>
              </w:rPr>
              <w:fldChar w:fldCharType="separate"/>
            </w:r>
            <w:r w:rsidR="00F7037D">
              <w:rPr>
                <w:rFonts w:ascii="Calibri" w:hAnsi="Calibri" w:cs="Arial"/>
                <w:i w:val="0"/>
                <w:iCs w:val="0"/>
                <w:noProof/>
                <w:webHidden/>
                <w:sz w:val="21"/>
                <w:szCs w:val="21"/>
              </w:rPr>
              <w:t>1</w:t>
            </w:r>
            <w:r w:rsidRPr="001718EB" w:rsidR="00D3490B">
              <w:rPr>
                <w:rFonts w:ascii="Calibri" w:hAnsi="Calibri" w:cs="Arial"/>
                <w:i w:val="0"/>
                <w:iCs w:val="0"/>
                <w:noProof/>
                <w:webHidden/>
                <w:sz w:val="21"/>
                <w:szCs w:val="21"/>
              </w:rPr>
              <w:fldChar w:fldCharType="end"/>
            </w:r>
          </w:hyperlink>
        </w:p>
        <w:p w:rsidRPr="001718EB" w:rsidR="00D3490B" w:rsidRDefault="00184EE6" w14:paraId="7B22D590" w14:textId="109D5D79">
          <w:pPr>
            <w:pStyle w:val="TOC1"/>
            <w:tabs>
              <w:tab w:val="right" w:leader="dot" w:pos="9350"/>
            </w:tabs>
            <w:rPr>
              <w:rFonts w:ascii="Calibri" w:hAnsi="Calibri" w:cs="Arial"/>
              <w:i w:val="0"/>
              <w:iCs w:val="0"/>
              <w:noProof/>
              <w:sz w:val="21"/>
              <w:szCs w:val="21"/>
            </w:rPr>
          </w:pPr>
          <w:hyperlink w:history="1" w:anchor="_Toc79146586">
            <w:r w:rsidRPr="001718EB" w:rsidR="00D3490B">
              <w:rPr>
                <w:rStyle w:val="Hyperlink"/>
                <w:rFonts w:ascii="Calibri" w:hAnsi="Calibri" w:cs="Arial"/>
                <w:i w:val="0"/>
                <w:iCs w:val="0"/>
                <w:noProof/>
                <w:sz w:val="21"/>
                <w:szCs w:val="21"/>
              </w:rPr>
              <w:t>WORK SCOPE AND RESPONSIBILITIES</w:t>
            </w:r>
            <w:r w:rsidRPr="001718EB" w:rsidR="00D3490B">
              <w:rPr>
                <w:rFonts w:ascii="Calibri" w:hAnsi="Calibri" w:cs="Arial"/>
                <w:i w:val="0"/>
                <w:iCs w:val="0"/>
                <w:noProof/>
                <w:webHidden/>
                <w:sz w:val="21"/>
                <w:szCs w:val="21"/>
              </w:rPr>
              <w:tab/>
            </w:r>
            <w:r w:rsidRPr="001718EB" w:rsidR="00D3490B">
              <w:rPr>
                <w:rFonts w:ascii="Calibri" w:hAnsi="Calibri" w:cs="Arial"/>
                <w:i w:val="0"/>
                <w:iCs w:val="0"/>
                <w:noProof/>
                <w:webHidden/>
                <w:sz w:val="21"/>
                <w:szCs w:val="21"/>
              </w:rPr>
              <w:fldChar w:fldCharType="begin"/>
            </w:r>
            <w:r w:rsidRPr="001718EB" w:rsidR="00D3490B">
              <w:rPr>
                <w:rFonts w:ascii="Calibri" w:hAnsi="Calibri" w:cs="Arial"/>
                <w:i w:val="0"/>
                <w:iCs w:val="0"/>
                <w:noProof/>
                <w:webHidden/>
                <w:sz w:val="21"/>
                <w:szCs w:val="21"/>
              </w:rPr>
              <w:instrText xml:space="preserve"> PAGEREF _Toc79146586 \h </w:instrText>
            </w:r>
            <w:r w:rsidRPr="001718EB" w:rsidR="00D3490B">
              <w:rPr>
                <w:rFonts w:ascii="Calibri" w:hAnsi="Calibri" w:cs="Arial"/>
                <w:i w:val="0"/>
                <w:iCs w:val="0"/>
                <w:noProof/>
                <w:webHidden/>
                <w:sz w:val="21"/>
                <w:szCs w:val="21"/>
              </w:rPr>
            </w:r>
            <w:r w:rsidRPr="001718EB" w:rsidR="00D3490B">
              <w:rPr>
                <w:rFonts w:ascii="Calibri" w:hAnsi="Calibri" w:cs="Arial"/>
                <w:i w:val="0"/>
                <w:iCs w:val="0"/>
                <w:noProof/>
                <w:webHidden/>
                <w:sz w:val="21"/>
                <w:szCs w:val="21"/>
              </w:rPr>
              <w:fldChar w:fldCharType="separate"/>
            </w:r>
            <w:r w:rsidR="00F7037D">
              <w:rPr>
                <w:rFonts w:ascii="Calibri" w:hAnsi="Calibri" w:cs="Arial"/>
                <w:i w:val="0"/>
                <w:iCs w:val="0"/>
                <w:noProof/>
                <w:webHidden/>
                <w:sz w:val="21"/>
                <w:szCs w:val="21"/>
              </w:rPr>
              <w:t>2</w:t>
            </w:r>
            <w:r w:rsidRPr="001718EB" w:rsidR="00D3490B">
              <w:rPr>
                <w:rFonts w:ascii="Calibri" w:hAnsi="Calibri" w:cs="Arial"/>
                <w:i w:val="0"/>
                <w:iCs w:val="0"/>
                <w:noProof/>
                <w:webHidden/>
                <w:sz w:val="21"/>
                <w:szCs w:val="21"/>
              </w:rPr>
              <w:fldChar w:fldCharType="end"/>
            </w:r>
          </w:hyperlink>
        </w:p>
        <w:p w:rsidRPr="001718EB" w:rsidR="00D3490B" w:rsidRDefault="00184EE6" w14:paraId="2674E0D0" w14:textId="25623748">
          <w:pPr>
            <w:pStyle w:val="TOC1"/>
            <w:tabs>
              <w:tab w:val="right" w:leader="dot" w:pos="9350"/>
            </w:tabs>
            <w:rPr>
              <w:rFonts w:ascii="Calibri" w:hAnsi="Calibri" w:cs="Arial"/>
              <w:i w:val="0"/>
              <w:iCs w:val="0"/>
              <w:noProof/>
              <w:sz w:val="21"/>
              <w:szCs w:val="21"/>
            </w:rPr>
          </w:pPr>
          <w:hyperlink w:history="1" w:anchor="_Toc79146590">
            <w:r w:rsidRPr="001718EB" w:rsidR="00D3490B">
              <w:rPr>
                <w:rStyle w:val="Hyperlink"/>
                <w:rFonts w:ascii="Calibri" w:hAnsi="Calibri" w:cs="Arial"/>
                <w:i w:val="0"/>
                <w:iCs w:val="0"/>
                <w:noProof/>
                <w:sz w:val="21"/>
                <w:szCs w:val="21"/>
              </w:rPr>
              <w:t>APPLICANT EXPECTATIONS</w:t>
            </w:r>
            <w:r w:rsidRPr="001718EB" w:rsidR="00D3490B">
              <w:rPr>
                <w:rFonts w:ascii="Calibri" w:hAnsi="Calibri" w:cs="Arial"/>
                <w:i w:val="0"/>
                <w:iCs w:val="0"/>
                <w:noProof/>
                <w:webHidden/>
                <w:sz w:val="21"/>
                <w:szCs w:val="21"/>
              </w:rPr>
              <w:tab/>
            </w:r>
            <w:r w:rsidRPr="001718EB" w:rsidR="00D3490B">
              <w:rPr>
                <w:rFonts w:ascii="Calibri" w:hAnsi="Calibri" w:cs="Arial"/>
                <w:i w:val="0"/>
                <w:iCs w:val="0"/>
                <w:noProof/>
                <w:webHidden/>
                <w:sz w:val="21"/>
                <w:szCs w:val="21"/>
              </w:rPr>
              <w:fldChar w:fldCharType="begin"/>
            </w:r>
            <w:r w:rsidRPr="001718EB" w:rsidR="00D3490B">
              <w:rPr>
                <w:rFonts w:ascii="Calibri" w:hAnsi="Calibri" w:cs="Arial"/>
                <w:i w:val="0"/>
                <w:iCs w:val="0"/>
                <w:noProof/>
                <w:webHidden/>
                <w:sz w:val="21"/>
                <w:szCs w:val="21"/>
              </w:rPr>
              <w:instrText xml:space="preserve"> PAGEREF _Toc79146590 \h </w:instrText>
            </w:r>
            <w:r w:rsidRPr="001718EB" w:rsidR="00D3490B">
              <w:rPr>
                <w:rFonts w:ascii="Calibri" w:hAnsi="Calibri" w:cs="Arial"/>
                <w:i w:val="0"/>
                <w:iCs w:val="0"/>
                <w:noProof/>
                <w:webHidden/>
                <w:sz w:val="21"/>
                <w:szCs w:val="21"/>
              </w:rPr>
            </w:r>
            <w:r w:rsidRPr="001718EB" w:rsidR="00D3490B">
              <w:rPr>
                <w:rFonts w:ascii="Calibri" w:hAnsi="Calibri" w:cs="Arial"/>
                <w:i w:val="0"/>
                <w:iCs w:val="0"/>
                <w:noProof/>
                <w:webHidden/>
                <w:sz w:val="21"/>
                <w:szCs w:val="21"/>
              </w:rPr>
              <w:fldChar w:fldCharType="separate"/>
            </w:r>
            <w:r w:rsidR="00F7037D">
              <w:rPr>
                <w:rFonts w:ascii="Calibri" w:hAnsi="Calibri" w:cs="Arial"/>
                <w:i w:val="0"/>
                <w:iCs w:val="0"/>
                <w:noProof/>
                <w:webHidden/>
                <w:sz w:val="21"/>
                <w:szCs w:val="21"/>
              </w:rPr>
              <w:t>3</w:t>
            </w:r>
            <w:r w:rsidRPr="001718EB" w:rsidR="00D3490B">
              <w:rPr>
                <w:rFonts w:ascii="Calibri" w:hAnsi="Calibri" w:cs="Arial"/>
                <w:i w:val="0"/>
                <w:iCs w:val="0"/>
                <w:noProof/>
                <w:webHidden/>
                <w:sz w:val="21"/>
                <w:szCs w:val="21"/>
              </w:rPr>
              <w:fldChar w:fldCharType="end"/>
            </w:r>
          </w:hyperlink>
        </w:p>
        <w:p w:rsidRPr="001718EB" w:rsidR="00D3490B" w:rsidRDefault="00184EE6" w14:paraId="01D74624" w14:textId="5929ADA9">
          <w:pPr>
            <w:pStyle w:val="TOC1"/>
            <w:tabs>
              <w:tab w:val="right" w:leader="dot" w:pos="9350"/>
            </w:tabs>
            <w:rPr>
              <w:rFonts w:ascii="Calibri" w:hAnsi="Calibri" w:cs="Arial"/>
              <w:i w:val="0"/>
              <w:iCs w:val="0"/>
              <w:noProof/>
              <w:sz w:val="21"/>
              <w:szCs w:val="21"/>
            </w:rPr>
          </w:pPr>
          <w:hyperlink w:history="1" w:anchor="_Toc79146593">
            <w:r w:rsidRPr="001718EB" w:rsidR="00D3490B">
              <w:rPr>
                <w:rStyle w:val="Hyperlink"/>
                <w:rFonts w:ascii="Calibri" w:hAnsi="Calibri" w:cs="Arial"/>
                <w:i w:val="0"/>
                <w:iCs w:val="0"/>
                <w:noProof/>
                <w:sz w:val="21"/>
                <w:szCs w:val="21"/>
              </w:rPr>
              <w:t>SUBMISSION REQUIREMENTS</w:t>
            </w:r>
            <w:r w:rsidRPr="001718EB" w:rsidR="00D3490B">
              <w:rPr>
                <w:rFonts w:ascii="Calibri" w:hAnsi="Calibri" w:cs="Arial"/>
                <w:i w:val="0"/>
                <w:iCs w:val="0"/>
                <w:noProof/>
                <w:webHidden/>
                <w:sz w:val="21"/>
                <w:szCs w:val="21"/>
              </w:rPr>
              <w:tab/>
            </w:r>
            <w:r w:rsidRPr="001718EB" w:rsidR="00D3490B">
              <w:rPr>
                <w:rFonts w:ascii="Calibri" w:hAnsi="Calibri" w:cs="Arial"/>
                <w:i w:val="0"/>
                <w:iCs w:val="0"/>
                <w:noProof/>
                <w:webHidden/>
                <w:sz w:val="21"/>
                <w:szCs w:val="21"/>
              </w:rPr>
              <w:fldChar w:fldCharType="begin"/>
            </w:r>
            <w:r w:rsidRPr="001718EB" w:rsidR="00D3490B">
              <w:rPr>
                <w:rFonts w:ascii="Calibri" w:hAnsi="Calibri" w:cs="Arial"/>
                <w:i w:val="0"/>
                <w:iCs w:val="0"/>
                <w:noProof/>
                <w:webHidden/>
                <w:sz w:val="21"/>
                <w:szCs w:val="21"/>
              </w:rPr>
              <w:instrText xml:space="preserve"> PAGEREF _Toc79146593 \h </w:instrText>
            </w:r>
            <w:r w:rsidRPr="001718EB" w:rsidR="00D3490B">
              <w:rPr>
                <w:rFonts w:ascii="Calibri" w:hAnsi="Calibri" w:cs="Arial"/>
                <w:i w:val="0"/>
                <w:iCs w:val="0"/>
                <w:noProof/>
                <w:webHidden/>
                <w:sz w:val="21"/>
                <w:szCs w:val="21"/>
              </w:rPr>
            </w:r>
            <w:r w:rsidRPr="001718EB" w:rsidR="00D3490B">
              <w:rPr>
                <w:rFonts w:ascii="Calibri" w:hAnsi="Calibri" w:cs="Arial"/>
                <w:i w:val="0"/>
                <w:iCs w:val="0"/>
                <w:noProof/>
                <w:webHidden/>
                <w:sz w:val="21"/>
                <w:szCs w:val="21"/>
              </w:rPr>
              <w:fldChar w:fldCharType="separate"/>
            </w:r>
            <w:r w:rsidR="00F7037D">
              <w:rPr>
                <w:rFonts w:ascii="Calibri" w:hAnsi="Calibri" w:cs="Arial"/>
                <w:i w:val="0"/>
                <w:iCs w:val="0"/>
                <w:noProof/>
                <w:webHidden/>
                <w:sz w:val="21"/>
                <w:szCs w:val="21"/>
              </w:rPr>
              <w:t>4</w:t>
            </w:r>
            <w:r w:rsidRPr="001718EB" w:rsidR="00D3490B">
              <w:rPr>
                <w:rFonts w:ascii="Calibri" w:hAnsi="Calibri" w:cs="Arial"/>
                <w:i w:val="0"/>
                <w:iCs w:val="0"/>
                <w:noProof/>
                <w:webHidden/>
                <w:sz w:val="21"/>
                <w:szCs w:val="21"/>
              </w:rPr>
              <w:fldChar w:fldCharType="end"/>
            </w:r>
          </w:hyperlink>
        </w:p>
        <w:p w:rsidRPr="001718EB" w:rsidR="00D3490B" w:rsidRDefault="00184EE6" w14:paraId="3AAA7C4A" w14:textId="0077EAE8">
          <w:pPr>
            <w:pStyle w:val="TOC1"/>
            <w:tabs>
              <w:tab w:val="right" w:leader="dot" w:pos="9350"/>
            </w:tabs>
            <w:rPr>
              <w:rFonts w:ascii="Calibri" w:hAnsi="Calibri" w:cs="Arial"/>
              <w:i w:val="0"/>
              <w:iCs w:val="0"/>
              <w:noProof/>
              <w:sz w:val="21"/>
              <w:szCs w:val="21"/>
            </w:rPr>
          </w:pPr>
          <w:hyperlink w:history="1" w:anchor="_Toc79146594">
            <w:r w:rsidRPr="001718EB" w:rsidR="00D3490B">
              <w:rPr>
                <w:rStyle w:val="Hyperlink"/>
                <w:rFonts w:ascii="Calibri" w:hAnsi="Calibri" w:cs="Arial"/>
                <w:i w:val="0"/>
                <w:iCs w:val="0"/>
                <w:noProof/>
                <w:sz w:val="21"/>
                <w:szCs w:val="21"/>
              </w:rPr>
              <w:t>RFP INFORMATION</w:t>
            </w:r>
            <w:r w:rsidRPr="001718EB" w:rsidR="00D3490B">
              <w:rPr>
                <w:rFonts w:ascii="Calibri" w:hAnsi="Calibri" w:cs="Arial"/>
                <w:i w:val="0"/>
                <w:iCs w:val="0"/>
                <w:noProof/>
                <w:webHidden/>
                <w:sz w:val="21"/>
                <w:szCs w:val="21"/>
              </w:rPr>
              <w:tab/>
            </w:r>
            <w:r w:rsidRPr="001718EB" w:rsidR="00D3490B">
              <w:rPr>
                <w:rFonts w:ascii="Calibri" w:hAnsi="Calibri" w:cs="Arial"/>
                <w:i w:val="0"/>
                <w:iCs w:val="0"/>
                <w:noProof/>
                <w:webHidden/>
                <w:sz w:val="21"/>
                <w:szCs w:val="21"/>
              </w:rPr>
              <w:fldChar w:fldCharType="begin"/>
            </w:r>
            <w:r w:rsidRPr="001718EB" w:rsidR="00D3490B">
              <w:rPr>
                <w:rFonts w:ascii="Calibri" w:hAnsi="Calibri" w:cs="Arial"/>
                <w:i w:val="0"/>
                <w:iCs w:val="0"/>
                <w:noProof/>
                <w:webHidden/>
                <w:sz w:val="21"/>
                <w:szCs w:val="21"/>
              </w:rPr>
              <w:instrText xml:space="preserve"> PAGEREF _Toc79146594 \h </w:instrText>
            </w:r>
            <w:r w:rsidRPr="001718EB" w:rsidR="00D3490B">
              <w:rPr>
                <w:rFonts w:ascii="Calibri" w:hAnsi="Calibri" w:cs="Arial"/>
                <w:i w:val="0"/>
                <w:iCs w:val="0"/>
                <w:noProof/>
                <w:webHidden/>
                <w:sz w:val="21"/>
                <w:szCs w:val="21"/>
              </w:rPr>
            </w:r>
            <w:r w:rsidRPr="001718EB" w:rsidR="00D3490B">
              <w:rPr>
                <w:rFonts w:ascii="Calibri" w:hAnsi="Calibri" w:cs="Arial"/>
                <w:i w:val="0"/>
                <w:iCs w:val="0"/>
                <w:noProof/>
                <w:webHidden/>
                <w:sz w:val="21"/>
                <w:szCs w:val="21"/>
              </w:rPr>
              <w:fldChar w:fldCharType="separate"/>
            </w:r>
            <w:r w:rsidR="00F7037D">
              <w:rPr>
                <w:rFonts w:ascii="Calibri" w:hAnsi="Calibri" w:cs="Arial"/>
                <w:i w:val="0"/>
                <w:iCs w:val="0"/>
                <w:noProof/>
                <w:webHidden/>
                <w:sz w:val="21"/>
                <w:szCs w:val="21"/>
              </w:rPr>
              <w:t>4</w:t>
            </w:r>
            <w:r w:rsidRPr="001718EB" w:rsidR="00D3490B">
              <w:rPr>
                <w:rFonts w:ascii="Calibri" w:hAnsi="Calibri" w:cs="Arial"/>
                <w:i w:val="0"/>
                <w:iCs w:val="0"/>
                <w:noProof/>
                <w:webHidden/>
                <w:sz w:val="21"/>
                <w:szCs w:val="21"/>
              </w:rPr>
              <w:fldChar w:fldCharType="end"/>
            </w:r>
          </w:hyperlink>
        </w:p>
        <w:p w:rsidRPr="001718EB" w:rsidR="00D3490B" w:rsidRDefault="00184EE6" w14:paraId="205EEE47" w14:textId="02E6BA0F">
          <w:pPr>
            <w:pStyle w:val="TOC1"/>
            <w:tabs>
              <w:tab w:val="right" w:leader="dot" w:pos="9350"/>
            </w:tabs>
            <w:rPr>
              <w:rFonts w:ascii="Calibri" w:hAnsi="Calibri" w:cs="Arial"/>
              <w:i w:val="0"/>
              <w:iCs w:val="0"/>
              <w:noProof/>
              <w:sz w:val="21"/>
              <w:szCs w:val="21"/>
            </w:rPr>
          </w:pPr>
          <w:hyperlink w:history="1" w:anchor="_Toc79146599">
            <w:r w:rsidRPr="001718EB" w:rsidR="00D3490B">
              <w:rPr>
                <w:rStyle w:val="Hyperlink"/>
                <w:rFonts w:ascii="Calibri" w:hAnsi="Calibri" w:cs="Arial"/>
                <w:i w:val="0"/>
                <w:iCs w:val="0"/>
                <w:noProof/>
                <w:sz w:val="21"/>
                <w:szCs w:val="21"/>
              </w:rPr>
              <w:t>RFP TIMELINE</w:t>
            </w:r>
            <w:r w:rsidRPr="001718EB" w:rsidR="00D3490B">
              <w:rPr>
                <w:rFonts w:ascii="Calibri" w:hAnsi="Calibri" w:cs="Arial"/>
                <w:i w:val="0"/>
                <w:iCs w:val="0"/>
                <w:noProof/>
                <w:webHidden/>
                <w:sz w:val="21"/>
                <w:szCs w:val="21"/>
              </w:rPr>
              <w:tab/>
            </w:r>
            <w:r w:rsidRPr="001718EB" w:rsidR="00D3490B">
              <w:rPr>
                <w:rFonts w:ascii="Calibri" w:hAnsi="Calibri" w:cs="Arial"/>
                <w:i w:val="0"/>
                <w:iCs w:val="0"/>
                <w:noProof/>
                <w:webHidden/>
                <w:sz w:val="21"/>
                <w:szCs w:val="21"/>
              </w:rPr>
              <w:fldChar w:fldCharType="begin"/>
            </w:r>
            <w:r w:rsidRPr="001718EB" w:rsidR="00D3490B">
              <w:rPr>
                <w:rFonts w:ascii="Calibri" w:hAnsi="Calibri" w:cs="Arial"/>
                <w:i w:val="0"/>
                <w:iCs w:val="0"/>
                <w:noProof/>
                <w:webHidden/>
                <w:sz w:val="21"/>
                <w:szCs w:val="21"/>
              </w:rPr>
              <w:instrText xml:space="preserve"> PAGEREF _Toc79146599 \h </w:instrText>
            </w:r>
            <w:r w:rsidRPr="001718EB" w:rsidR="00D3490B">
              <w:rPr>
                <w:rFonts w:ascii="Calibri" w:hAnsi="Calibri" w:cs="Arial"/>
                <w:i w:val="0"/>
                <w:iCs w:val="0"/>
                <w:noProof/>
                <w:webHidden/>
                <w:sz w:val="21"/>
                <w:szCs w:val="21"/>
              </w:rPr>
            </w:r>
            <w:r w:rsidRPr="001718EB" w:rsidR="00D3490B">
              <w:rPr>
                <w:rFonts w:ascii="Calibri" w:hAnsi="Calibri" w:cs="Arial"/>
                <w:i w:val="0"/>
                <w:iCs w:val="0"/>
                <w:noProof/>
                <w:webHidden/>
                <w:sz w:val="21"/>
                <w:szCs w:val="21"/>
              </w:rPr>
              <w:fldChar w:fldCharType="separate"/>
            </w:r>
            <w:r w:rsidR="00F7037D">
              <w:rPr>
                <w:rFonts w:ascii="Calibri" w:hAnsi="Calibri" w:cs="Arial"/>
                <w:i w:val="0"/>
                <w:iCs w:val="0"/>
                <w:noProof/>
                <w:webHidden/>
                <w:sz w:val="21"/>
                <w:szCs w:val="21"/>
              </w:rPr>
              <w:t>5</w:t>
            </w:r>
            <w:r w:rsidRPr="001718EB" w:rsidR="00D3490B">
              <w:rPr>
                <w:rFonts w:ascii="Calibri" w:hAnsi="Calibri" w:cs="Arial"/>
                <w:i w:val="0"/>
                <w:iCs w:val="0"/>
                <w:noProof/>
                <w:webHidden/>
                <w:sz w:val="21"/>
                <w:szCs w:val="21"/>
              </w:rPr>
              <w:fldChar w:fldCharType="end"/>
            </w:r>
          </w:hyperlink>
        </w:p>
        <w:p w:rsidR="00D3490B" w:rsidP="00F7037D" w:rsidRDefault="00D3490B" w14:paraId="5B21604F" w14:textId="703275AD">
          <w:r w:rsidRPr="00D3490B">
            <w:rPr>
              <w:rFonts w:ascii="Calibri" w:hAnsi="Calibri" w:cs="Arial"/>
              <w:b/>
              <w:bCs/>
              <w:noProof/>
              <w:sz w:val="20"/>
              <w:szCs w:val="20"/>
            </w:rPr>
            <w:fldChar w:fldCharType="end"/>
          </w:r>
        </w:p>
      </w:sdtContent>
    </w:sdt>
    <w:p w:rsidRPr="001718EB" w:rsidR="00381257" w:rsidP="001718EB" w:rsidRDefault="00A87E8B" w14:paraId="19E4E014" w14:textId="0604E286">
      <w:pPr>
        <w:pStyle w:val="Heading1"/>
      </w:pPr>
      <w:bookmarkStart w:name="_Toc79146582" w:id="2"/>
      <w:r w:rsidRPr="001718EB">
        <w:t>GENERAL INFORMATION</w:t>
      </w:r>
      <w:bookmarkEnd w:id="2"/>
    </w:p>
    <w:p w:rsidR="00381257" w:rsidP="00C106FE" w:rsidRDefault="00381257" w14:paraId="12B7372B" w14:textId="68462103">
      <w:pPr>
        <w:pStyle w:val="Heading2"/>
        <w:spacing w:before="100" w:beforeAutospacing="1" w:after="120" w:line="276" w:lineRule="auto"/>
        <w:ind w:left="0"/>
      </w:pPr>
      <w:bookmarkStart w:name="_Toc79146583" w:id="3"/>
      <w:r>
        <w:t>RFP Summary</w:t>
      </w:r>
      <w:bookmarkEnd w:id="3"/>
    </w:p>
    <w:p w:rsidR="001F6D17" w:rsidP="769D39E1" w:rsidRDefault="001F6D17" w14:paraId="249EACAB" w14:textId="4088D058">
      <w:pPr>
        <w:spacing w:before="100" w:beforeAutospacing="1" w:after="120" w:line="276" w:lineRule="auto"/>
      </w:pPr>
      <w:r>
        <w:t>Connecticut Light and Power Company and Yankee Gas Service Company (both d</w:t>
      </w:r>
      <w:r w:rsidR="008468C1">
        <w:t>/</w:t>
      </w:r>
      <w:r>
        <w:t>b</w:t>
      </w:r>
      <w:r w:rsidR="008468C1">
        <w:t>/</w:t>
      </w:r>
      <w:r>
        <w:t xml:space="preserve">a Eversource Energy), The United Illuminating Company (UI), Southern Connecticut Gas (SCG), and Connecticut Natural Gas (CNG), collectively the Utilities, are soliciting </w:t>
      </w:r>
      <w:r w:rsidR="00C306D3">
        <w:t xml:space="preserve">a </w:t>
      </w:r>
      <w:r w:rsidRPr="769D39E1">
        <w:rPr>
          <w:b/>
          <w:bCs/>
        </w:rPr>
        <w:t xml:space="preserve">Request for Proposals (RFP) on behalf of the State of Connecticut Energy Efficiency Board for a Consultant on Diversity, Equity, and Inclusion (DEI) starting </w:t>
      </w:r>
      <w:r w:rsidRPr="769D39E1" w:rsidR="07D9A1B8">
        <w:rPr>
          <w:b/>
          <w:bCs/>
        </w:rPr>
        <w:t xml:space="preserve">February </w:t>
      </w:r>
      <w:r w:rsidRPr="769D39E1">
        <w:rPr>
          <w:b/>
          <w:bCs/>
        </w:rPr>
        <w:t>1, 2022</w:t>
      </w:r>
      <w:r w:rsidRPr="769D39E1" w:rsidR="00C306D3">
        <w:rPr>
          <w:b/>
          <w:bCs/>
        </w:rPr>
        <w:t xml:space="preserve"> </w:t>
      </w:r>
      <w:r w:rsidRPr="769D39E1" w:rsidR="00415BFD">
        <w:rPr>
          <w:b/>
          <w:bCs/>
        </w:rPr>
        <w:t>to assist in ongoing efforts to enhance equity in Connecticut’s energy efficiency programs</w:t>
      </w:r>
      <w:r w:rsidR="00E12252">
        <w:rPr>
          <w:b/>
          <w:bCs/>
        </w:rPr>
        <w:t xml:space="preserve"> for </w:t>
      </w:r>
      <w:r w:rsidR="006F0F22">
        <w:rPr>
          <w:b/>
          <w:bCs/>
        </w:rPr>
        <w:t xml:space="preserve">the </w:t>
      </w:r>
      <w:r w:rsidR="00E12252">
        <w:rPr>
          <w:b/>
          <w:bCs/>
        </w:rPr>
        <w:t>years 2022, 2023, and 2024</w:t>
      </w:r>
      <w:r w:rsidRPr="769D39E1" w:rsidR="00415BFD">
        <w:rPr>
          <w:b/>
          <w:bCs/>
        </w:rPr>
        <w:t>.</w:t>
      </w:r>
      <w:r w:rsidRPr="769D39E1" w:rsidR="6D4EF863">
        <w:rPr>
          <w:b/>
          <w:bCs/>
        </w:rPr>
        <w:t xml:space="preserve"> </w:t>
      </w:r>
      <w:r w:rsidR="6D4EF863">
        <w:t>The DEI Consultant will report to the Energy Efficiency Board, working closely with the Board’s Technical Consultants</w:t>
      </w:r>
      <w:r w:rsidR="00E12252">
        <w:t xml:space="preserve">, </w:t>
      </w:r>
      <w:r w:rsidR="6D4EF863">
        <w:t>Evaluation Administrator</w:t>
      </w:r>
      <w:r w:rsidR="00E12252">
        <w:t>, and EEB Consultant Committee</w:t>
      </w:r>
      <w:r w:rsidR="6D4EF863">
        <w:t>, as well as the Connecticut Department of Energy and Environmental Protection (DEEP</w:t>
      </w:r>
      <w:r w:rsidR="23541358">
        <w:t xml:space="preserve">), Utilities, and other stakeholders. </w:t>
      </w:r>
    </w:p>
    <w:p w:rsidRPr="00F7037D" w:rsidR="00513DF8" w:rsidP="769D39E1" w:rsidRDefault="00513DF8" w14:paraId="034E0FF7" w14:textId="4365DDA9">
      <w:pPr>
        <w:spacing w:before="100" w:beforeAutospacing="1" w:after="120" w:line="276" w:lineRule="auto"/>
      </w:pPr>
      <w:r>
        <w:t xml:space="preserve">The RFP is posted on the </w:t>
      </w:r>
      <w:hyperlink w:history="1" r:id="rId11">
        <w:r w:rsidRPr="00064E87">
          <w:rPr>
            <w:rStyle w:val="Hyperlink"/>
          </w:rPr>
          <w:t>Energize CT website</w:t>
        </w:r>
      </w:hyperlink>
      <w:r>
        <w:t xml:space="preserve"> under </w:t>
      </w:r>
      <w:r w:rsidR="00064E87">
        <w:t>RFPs.</w:t>
      </w:r>
    </w:p>
    <w:p w:rsidR="00381257" w:rsidP="00C106FE" w:rsidRDefault="00BA5EBE" w14:paraId="46C752F4" w14:textId="75B5B3AB">
      <w:pPr>
        <w:pStyle w:val="Heading2"/>
        <w:spacing w:before="100" w:beforeAutospacing="1" w:after="120" w:line="276" w:lineRule="auto"/>
        <w:ind w:left="0"/>
      </w:pPr>
      <w:bookmarkStart w:name="_Toc79146584" w:id="4"/>
      <w:r>
        <w:t>About the</w:t>
      </w:r>
      <w:r w:rsidR="00381257">
        <w:t xml:space="preserve"> Energy Efficiency Board</w:t>
      </w:r>
      <w:bookmarkEnd w:id="4"/>
    </w:p>
    <w:p w:rsidRPr="00381257" w:rsidR="001F6D17" w:rsidP="00C106FE" w:rsidRDefault="001F6D17" w14:paraId="38EFC04D" w14:textId="5C5F7E5F">
      <w:pPr>
        <w:spacing w:before="100" w:beforeAutospacing="1" w:after="120" w:line="276" w:lineRule="auto"/>
      </w:pPr>
      <w:r w:rsidRPr="00381257">
        <w:t xml:space="preserve">The State of </w:t>
      </w:r>
      <w:r w:rsidRPr="0012187D">
        <w:t xml:space="preserve">Connecticut </w:t>
      </w:r>
      <w:hyperlink w:history="1" r:id="rId12">
        <w:r w:rsidRPr="0012187D">
          <w:rPr>
            <w:rStyle w:val="Hyperlink"/>
          </w:rPr>
          <w:t>Energy Efficiency Board</w:t>
        </w:r>
      </w:hyperlink>
      <w:r w:rsidRPr="0012187D">
        <w:t xml:space="preserve"> (“EEB”), established</w:t>
      </w:r>
      <w:r w:rsidRPr="00381257">
        <w:t xml:space="preserve"> by CT General Statutes Section 16-245m, is seeking a</w:t>
      </w:r>
      <w:r w:rsidRPr="00381257" w:rsidR="04DB2434">
        <w:t xml:space="preserve"> Consultant</w:t>
      </w:r>
      <w:r w:rsidRPr="00381257">
        <w:t xml:space="preserve"> to </w:t>
      </w:r>
      <w:r w:rsidRPr="00381257" w:rsidR="697D39BB">
        <w:t>advance</w:t>
      </w:r>
      <w:r w:rsidRPr="00381257" w:rsidR="44F13061">
        <w:t xml:space="preserve"> </w:t>
      </w:r>
      <w:r w:rsidRPr="00381257" w:rsidR="4F3698CF">
        <w:t>the</w:t>
      </w:r>
      <w:r w:rsidRPr="00381257" w:rsidR="01A0BC75">
        <w:t xml:space="preserve"> </w:t>
      </w:r>
      <w:r w:rsidRPr="00381257">
        <w:t>EEB</w:t>
      </w:r>
      <w:r w:rsidRPr="00381257" w:rsidR="483B7020">
        <w:t>’s commitment to Diversity, Equity, and Inclusion</w:t>
      </w:r>
      <w:r w:rsidRPr="00381257">
        <w:t xml:space="preserve">. The EEB oversees the ratepayer-funded conservation and load management programs and initiatives administered by the electric and gas utility distribution companies and advises municipal utilities charged with implementing conservation and load management programs. </w:t>
      </w:r>
      <w:r w:rsidRPr="00381257" w:rsidR="00051B4E">
        <w:t xml:space="preserve">As </w:t>
      </w:r>
      <w:r w:rsidRPr="00381257">
        <w:t xml:space="preserve">a </w:t>
      </w:r>
      <w:r w:rsidRPr="00381257" w:rsidR="6E41F32F">
        <w:t>seventeen</w:t>
      </w:r>
      <w:r w:rsidRPr="00381257">
        <w:t xml:space="preserve">-member board, </w:t>
      </w:r>
      <w:r w:rsidRPr="00381257" w:rsidR="00051B4E">
        <w:t xml:space="preserve">the EEB </w:t>
      </w:r>
      <w:r w:rsidRPr="00381257">
        <w:t xml:space="preserve">includes representatives from </w:t>
      </w:r>
      <w:r w:rsidRPr="00381257">
        <w:lastRenderedPageBreak/>
        <w:t>governmental agencies, business and residential consumer groups, non-profit organizations, and the utilities. The EEB reports annually to the Department of Energy and Environmental Protection (“DEEP”) and to the General Assembly.</w:t>
      </w:r>
    </w:p>
    <w:p w:rsidR="001F6D17" w:rsidP="00C106FE" w:rsidRDefault="001F6D17" w14:paraId="2B988783" w14:textId="163373BC">
      <w:pPr>
        <w:spacing w:before="100" w:beforeAutospacing="1" w:after="120" w:line="276" w:lineRule="auto"/>
      </w:pPr>
      <w:r>
        <w:t>Connecticut is a leading state in energy efficiency, demand response, and load management programs – labeled “Conservation and Load Management,” or “C&amp;LM” in state statute</w:t>
      </w:r>
      <w:r w:rsidR="001A0108">
        <w:t xml:space="preserve">. </w:t>
      </w:r>
      <w:r w:rsidR="00227A7E">
        <w:t>The</w:t>
      </w:r>
      <w:r>
        <w:t xml:space="preserve"> Connecticut C&amp;LM programs </w:t>
      </w:r>
      <w:r w:rsidR="268041FD">
        <w:t xml:space="preserve">under the </w:t>
      </w:r>
      <w:hyperlink r:id="rId13">
        <w:r w:rsidRPr="0B2B3123" w:rsidR="268041FD">
          <w:rPr>
            <w:rStyle w:val="Hyperlink"/>
          </w:rPr>
          <w:t>Energize CT</w:t>
        </w:r>
      </w:hyperlink>
      <w:r w:rsidR="268041FD">
        <w:t xml:space="preserve"> umbrella </w:t>
      </w:r>
      <w:r w:rsidR="00325BC4">
        <w:t xml:space="preserve">seek to achieve deep and comprehensive energy and demand savings </w:t>
      </w:r>
      <w:r w:rsidR="00E70B29">
        <w:t>that</w:t>
      </w:r>
      <w:r w:rsidR="00325BC4">
        <w:t xml:space="preserve"> benefit </w:t>
      </w:r>
      <w:r w:rsidR="00E70B29">
        <w:t xml:space="preserve">the full breadth of customer sectors, market segments, </w:t>
      </w:r>
      <w:r w:rsidR="00325BC4">
        <w:t xml:space="preserve">and the state </w:t>
      </w:r>
      <w:proofErr w:type="gramStart"/>
      <w:r w:rsidR="00AE3772">
        <w:t xml:space="preserve">as a whole </w:t>
      </w:r>
      <w:r w:rsidR="00325BC4">
        <w:t>through</w:t>
      </w:r>
      <w:proofErr w:type="gramEnd"/>
      <w:r w:rsidR="00325BC4">
        <w:t xml:space="preserve"> a wide variety of program</w:t>
      </w:r>
      <w:r w:rsidR="00E70B29">
        <w:t>s</w:t>
      </w:r>
      <w:r w:rsidR="00325BC4">
        <w:t xml:space="preserve"> and market strategies</w:t>
      </w:r>
      <w:r w:rsidR="00636F19">
        <w:t xml:space="preserve"> that address all fuels</w:t>
      </w:r>
      <w:r>
        <w:t xml:space="preserve">. </w:t>
      </w:r>
      <w:r w:rsidR="00227A7E">
        <w:t>These</w:t>
      </w:r>
      <w:r>
        <w:t xml:space="preserve"> extensive program efforts are pursued with </w:t>
      </w:r>
      <w:r w:rsidR="00227A7E">
        <w:t xml:space="preserve">a </w:t>
      </w:r>
      <w:r>
        <w:t xml:space="preserve">focus on leveraging ratepayer </w:t>
      </w:r>
      <w:r w:rsidR="00227A7E">
        <w:t xml:space="preserve">money </w:t>
      </w:r>
      <w:r>
        <w:t>used to fund the programs</w:t>
      </w:r>
      <w:r w:rsidR="004D2F24">
        <w:t xml:space="preserve"> and</w:t>
      </w:r>
      <w:r>
        <w:t xml:space="preserve"> advanc</w:t>
      </w:r>
      <w:r w:rsidR="004D2F24">
        <w:t>ing</w:t>
      </w:r>
      <w:r>
        <w:t xml:space="preserve"> market-based strategies to achieve the savings and other benefits.</w:t>
      </w:r>
    </w:p>
    <w:p w:rsidR="00381257" w:rsidP="00C106FE" w:rsidRDefault="00381257" w14:paraId="2C4112AF" w14:textId="3E3C3F01">
      <w:pPr>
        <w:pStyle w:val="Heading2"/>
        <w:spacing w:before="100" w:beforeAutospacing="1" w:after="120" w:line="276" w:lineRule="auto"/>
        <w:ind w:left="0"/>
      </w:pPr>
      <w:bookmarkStart w:name="_Toc79146585" w:id="5"/>
      <w:r>
        <w:t>Equitable Energy Efficiency (E3) Proceeding</w:t>
      </w:r>
      <w:r w:rsidR="00BA5EBE">
        <w:t xml:space="preserve"> Background</w:t>
      </w:r>
      <w:bookmarkEnd w:id="5"/>
    </w:p>
    <w:p w:rsidRPr="00F7037D" w:rsidR="001F6D17" w:rsidP="00C106FE" w:rsidRDefault="001F6D17" w14:paraId="04B1B5BB" w14:textId="0B8074B4">
      <w:pPr>
        <w:spacing w:before="100" w:beforeAutospacing="1" w:after="120" w:line="276" w:lineRule="auto"/>
        <w:rPr>
          <w:sz w:val="21"/>
          <w:szCs w:val="21"/>
        </w:rPr>
      </w:pPr>
      <w:r w:rsidRPr="00F7037D">
        <w:rPr>
          <w:sz w:val="21"/>
          <w:szCs w:val="21"/>
        </w:rPr>
        <w:t xml:space="preserve">In September 2020, DEEP launched the Equitable Energy Efficiency (E3) Proceeding to define equity in the context of the C&amp;LM programs within DEEP’s purview, develop specific metrics to identify underserved customer demographics, and expand the inclusion and participation of individuals from underserved communities in those programs. After receiving public comments on the scope and process of the E3 Proceeding, DEEP issued a </w:t>
      </w:r>
      <w:hyperlink w:history="1" r:id="rId14">
        <w:r w:rsidRPr="00F7037D">
          <w:rPr>
            <w:rStyle w:val="Hyperlink"/>
            <w:sz w:val="21"/>
            <w:szCs w:val="21"/>
          </w:rPr>
          <w:t>Determination</w:t>
        </w:r>
      </w:hyperlink>
      <w:r w:rsidRPr="00F7037D">
        <w:rPr>
          <w:sz w:val="21"/>
          <w:szCs w:val="21"/>
        </w:rPr>
        <w:t xml:space="preserve"> </w:t>
      </w:r>
      <w:r w:rsidRPr="00F7037D" w:rsidR="000A5B27">
        <w:rPr>
          <w:sz w:val="21"/>
          <w:szCs w:val="21"/>
        </w:rPr>
        <w:t xml:space="preserve">in July 2021 </w:t>
      </w:r>
      <w:r w:rsidRPr="00F7037D">
        <w:rPr>
          <w:sz w:val="21"/>
          <w:szCs w:val="21"/>
        </w:rPr>
        <w:t xml:space="preserve">that included </w:t>
      </w:r>
      <w:r w:rsidRPr="00F7037D" w:rsidR="000A5B27">
        <w:rPr>
          <w:sz w:val="21"/>
          <w:szCs w:val="21"/>
        </w:rPr>
        <w:t xml:space="preserve">eight </w:t>
      </w:r>
      <w:r w:rsidRPr="00F7037D" w:rsidR="0491E324">
        <w:rPr>
          <w:sz w:val="21"/>
          <w:szCs w:val="21"/>
        </w:rPr>
        <w:t xml:space="preserve">high-level Goals and several associated Actions that seek to characterize the current state of equity in Connecticut’s energy efficiency programs while taking short-term actions to address </w:t>
      </w:r>
      <w:r w:rsidRPr="00F7037D" w:rsidR="5562273D">
        <w:rPr>
          <w:sz w:val="21"/>
          <w:szCs w:val="21"/>
        </w:rPr>
        <w:t>known equity challenges and barriers</w:t>
      </w:r>
      <w:r w:rsidRPr="00F7037D">
        <w:rPr>
          <w:sz w:val="21"/>
          <w:szCs w:val="21"/>
        </w:rPr>
        <w:t xml:space="preserve">. This constituted the start of the first phase in what will be a multi-phased, iterative process to enhance equity in C&amp;LM programs. </w:t>
      </w:r>
    </w:p>
    <w:p w:rsidRPr="00F7037D" w:rsidR="00AF1CA2" w:rsidP="00C106FE" w:rsidRDefault="000E2591" w14:paraId="1E51685F" w14:textId="4802A209">
      <w:pPr>
        <w:spacing w:before="100" w:beforeAutospacing="1" w:after="120" w:line="276" w:lineRule="auto"/>
        <w:rPr>
          <w:b/>
          <w:bCs/>
        </w:rPr>
      </w:pPr>
      <w:r w:rsidRPr="00F7037D">
        <w:rPr>
          <w:b/>
          <w:bCs/>
        </w:rPr>
        <w:t>The Phase I Determination also included the following Vision Statement for Equity in Energy Efficiency:</w:t>
      </w:r>
    </w:p>
    <w:p w:rsidRPr="00F7037D" w:rsidR="286B9F30" w:rsidP="00F7037D" w:rsidRDefault="286B9F30" w14:paraId="2D5B4F61" w14:textId="10A38B55">
      <w:pPr>
        <w:spacing w:before="100" w:beforeAutospacing="1" w:after="120" w:line="276" w:lineRule="auto"/>
        <w:ind w:left="720"/>
        <w:rPr>
          <w:rFonts w:ascii="Calibri" w:hAnsi="Calibri" w:eastAsia="Calibri" w:cs="Calibri"/>
        </w:rPr>
      </w:pPr>
      <w:r w:rsidRPr="00F7037D">
        <w:rPr>
          <w:rFonts w:ascii="Calibri" w:hAnsi="Calibri" w:eastAsia="Calibri" w:cs="Calibri"/>
        </w:rPr>
        <w:t xml:space="preserve">Energy efficiency is one of the most cost-effective energy resources and has the potential to reduce energy burdens, cut carbon emissions, and promote community resilience. However, conscious effort is required to ensure that these benefits are conferred equitably among Connecticut residents. Equitable energy efficiency programs will: </w:t>
      </w:r>
    </w:p>
    <w:p w:rsidRPr="00F7037D" w:rsidR="286B9F30" w:rsidP="00F7037D" w:rsidRDefault="286B9F30" w14:paraId="11C19AC1" w14:textId="4D899E0A">
      <w:pPr>
        <w:pStyle w:val="ListParagraph"/>
        <w:numPr>
          <w:ilvl w:val="0"/>
          <w:numId w:val="16"/>
        </w:numPr>
        <w:spacing w:before="100" w:beforeAutospacing="1" w:after="120" w:line="276" w:lineRule="auto"/>
        <w:ind w:left="1440"/>
        <w:rPr>
          <w:rFonts w:eastAsiaTheme="minorEastAsia"/>
        </w:rPr>
      </w:pPr>
      <w:r w:rsidRPr="00F7037D">
        <w:rPr>
          <w:rFonts w:ascii="Calibri" w:hAnsi="Calibri" w:eastAsia="Calibri" w:cs="Calibri"/>
        </w:rPr>
        <w:t xml:space="preserve">Alleviate high energy burdens for low-income and underserved households </w:t>
      </w:r>
    </w:p>
    <w:p w:rsidRPr="00F7037D" w:rsidR="286B9F30" w:rsidP="00F7037D" w:rsidRDefault="286B9F30" w14:paraId="591927D9" w14:textId="627894E3">
      <w:pPr>
        <w:pStyle w:val="ListParagraph"/>
        <w:numPr>
          <w:ilvl w:val="0"/>
          <w:numId w:val="16"/>
        </w:numPr>
        <w:spacing w:before="100" w:beforeAutospacing="1" w:after="120" w:line="276" w:lineRule="auto"/>
        <w:ind w:left="1440"/>
        <w:rPr>
          <w:rFonts w:eastAsiaTheme="minorEastAsia"/>
        </w:rPr>
      </w:pPr>
      <w:r w:rsidRPr="00F7037D">
        <w:rPr>
          <w:rFonts w:ascii="Calibri" w:hAnsi="Calibri" w:eastAsia="Calibri" w:cs="Calibri"/>
        </w:rPr>
        <w:t xml:space="preserve">Recognize and remediate past harm by prioritizing historically under-resourced communities </w:t>
      </w:r>
    </w:p>
    <w:p w:rsidRPr="00F7037D" w:rsidR="286B9F30" w:rsidP="00F7037D" w:rsidRDefault="286B9F30" w14:paraId="6C80DB6F" w14:textId="2252B33A">
      <w:pPr>
        <w:pStyle w:val="ListParagraph"/>
        <w:numPr>
          <w:ilvl w:val="0"/>
          <w:numId w:val="16"/>
        </w:numPr>
        <w:spacing w:before="100" w:beforeAutospacing="1" w:after="120" w:line="276" w:lineRule="auto"/>
        <w:ind w:left="1440"/>
        <w:rPr>
          <w:rFonts w:eastAsiaTheme="minorEastAsia"/>
        </w:rPr>
      </w:pPr>
      <w:r w:rsidRPr="00F7037D">
        <w:rPr>
          <w:rFonts w:ascii="Calibri" w:hAnsi="Calibri" w:eastAsia="Calibri" w:cs="Calibri"/>
        </w:rPr>
        <w:t xml:space="preserve">Mitigate and eliminate barriers to low- to moderate-income participation in energy efficiency programs </w:t>
      </w:r>
    </w:p>
    <w:p w:rsidRPr="00F7037D" w:rsidR="286B9F30" w:rsidP="00F7037D" w:rsidRDefault="286B9F30" w14:paraId="38F4D795" w14:textId="50371EEC">
      <w:pPr>
        <w:pStyle w:val="ListParagraph"/>
        <w:numPr>
          <w:ilvl w:val="0"/>
          <w:numId w:val="16"/>
        </w:numPr>
        <w:spacing w:before="100" w:beforeAutospacing="1" w:after="120" w:line="276" w:lineRule="auto"/>
        <w:ind w:left="1440"/>
        <w:rPr>
          <w:rFonts w:eastAsiaTheme="minorEastAsia"/>
        </w:rPr>
      </w:pPr>
      <w:r w:rsidRPr="00F7037D">
        <w:rPr>
          <w:rFonts w:ascii="Calibri" w:hAnsi="Calibri" w:eastAsia="Calibri" w:cs="Calibri"/>
        </w:rPr>
        <w:t xml:space="preserve">Drive accessible and transparent process to incorporate residents’ priorities and lived experiences into program design and decision-making </w:t>
      </w:r>
    </w:p>
    <w:p w:rsidRPr="00F7037D" w:rsidR="286B9F30" w:rsidP="00F7037D" w:rsidRDefault="286B9F30" w14:paraId="196E4CBE" w14:textId="1ED9CBC1">
      <w:pPr>
        <w:pStyle w:val="ListParagraph"/>
        <w:numPr>
          <w:ilvl w:val="0"/>
          <w:numId w:val="16"/>
        </w:numPr>
        <w:spacing w:before="100" w:beforeAutospacing="1" w:after="120" w:line="276" w:lineRule="auto"/>
        <w:ind w:left="1440"/>
        <w:rPr>
          <w:rFonts w:eastAsiaTheme="minorEastAsia"/>
        </w:rPr>
      </w:pPr>
      <w:r w:rsidRPr="00F7037D">
        <w:rPr>
          <w:rFonts w:ascii="Calibri" w:hAnsi="Calibri" w:eastAsia="Calibri" w:cs="Calibri"/>
        </w:rPr>
        <w:t>Ensure equitable access to the benefits of energy efficiency</w:t>
      </w:r>
    </w:p>
    <w:p w:rsidR="000D37EE" w:rsidP="769D39E1" w:rsidRDefault="001F6D17" w14:paraId="2D329F9B" w14:textId="0F87A219">
      <w:pPr>
        <w:spacing w:before="100" w:beforeAutospacing="1" w:after="120" w:line="276" w:lineRule="auto"/>
      </w:pPr>
      <w:r>
        <w:t>The first Recommendation in the Phase I Determination</w:t>
      </w:r>
      <w:r w:rsidR="00AF1CA2">
        <w:t xml:space="preserve"> call</w:t>
      </w:r>
      <w:r w:rsidR="00240A4B">
        <w:t>s</w:t>
      </w:r>
      <w:r w:rsidR="00AF1CA2">
        <w:t xml:space="preserve"> for the hiring of a diversity, equity, and inclusion consultant (DEI Consultant) to review the current state of equity in C&amp;LM programs and propose recommendations to align programs with the E3 Vision Statement for Equity in Energy Efficiency. </w:t>
      </w:r>
      <w:r w:rsidR="00FC5D1E">
        <w:t>Once the</w:t>
      </w:r>
      <w:r w:rsidR="000E2591">
        <w:t xml:space="preserve"> DEI </w:t>
      </w:r>
      <w:r w:rsidR="00634C01">
        <w:t>C</w:t>
      </w:r>
      <w:r w:rsidR="000E2591">
        <w:t>onsultant is onboarded, implementation of the Phase I Recommendations will be underway.</w:t>
      </w:r>
    </w:p>
    <w:p w:rsidR="000D37EE" w:rsidP="00C106FE" w:rsidRDefault="000D37EE" w14:paraId="113AEEA6" w14:textId="77777777">
      <w:pPr>
        <w:spacing w:before="100" w:beforeAutospacing="1" w:after="120" w:line="276" w:lineRule="auto"/>
      </w:pPr>
    </w:p>
    <w:p w:rsidRPr="001A6B32" w:rsidR="00907EB1" w:rsidP="001718EB" w:rsidRDefault="0C8D50B6" w14:paraId="597D6C71" w14:textId="716E98CE">
      <w:pPr>
        <w:pStyle w:val="Heading1"/>
      </w:pPr>
      <w:bookmarkStart w:name="_Toc79146586" w:id="6"/>
      <w:r>
        <w:t xml:space="preserve">2022 </w:t>
      </w:r>
      <w:r w:rsidR="6DBBF163">
        <w:t>WORK SCOPE AND RESPONSIBILITIES</w:t>
      </w:r>
      <w:bookmarkEnd w:id="6"/>
      <w:r w:rsidR="69D3E82D">
        <w:t xml:space="preserve"> </w:t>
      </w:r>
    </w:p>
    <w:p w:rsidRPr="00A73CB9" w:rsidR="00FD2C94" w:rsidP="59C07E30" w:rsidRDefault="004D121D" w14:paraId="0189AB24" w14:textId="0E0A38CC">
      <w:pPr>
        <w:pStyle w:val="Heading2"/>
        <w:spacing w:before="100" w:beforeAutospacing="1" w:after="120" w:line="276" w:lineRule="auto"/>
        <w:ind w:left="0"/>
        <w:rPr>
          <w:b w:val="0"/>
          <w:bCs w:val="0"/>
        </w:rPr>
      </w:pPr>
      <w:bookmarkStart w:name="_Toc79146587" w:id="7"/>
      <w:r>
        <w:rPr>
          <w:b w:val="0"/>
          <w:bCs w:val="0"/>
        </w:rPr>
        <w:t xml:space="preserve">The activities outlined below represent the scope of work and responsibilities of the DEI Consultant </w:t>
      </w:r>
      <w:r w:rsidR="000766A9">
        <w:rPr>
          <w:b w:val="0"/>
          <w:bCs w:val="0"/>
        </w:rPr>
        <w:t>for the first year of their contract (2022).</w:t>
      </w:r>
      <w:r w:rsidR="00980886">
        <w:rPr>
          <w:b w:val="0"/>
          <w:bCs w:val="0"/>
        </w:rPr>
        <w:t xml:space="preserve"> The Energy Efficiency Board and Consultant Committee will develop scopes of work for </w:t>
      </w:r>
      <w:r w:rsidR="00D52667">
        <w:rPr>
          <w:b w:val="0"/>
          <w:bCs w:val="0"/>
        </w:rPr>
        <w:t>2023 and 2024 with assistance from the DEI Consultant</w:t>
      </w:r>
      <w:r w:rsidR="785486C4">
        <w:rPr>
          <w:b w:val="0"/>
          <w:bCs w:val="0"/>
        </w:rPr>
        <w:t xml:space="preserve"> prior to contract renewal</w:t>
      </w:r>
      <w:r w:rsidR="00D52667">
        <w:rPr>
          <w:b w:val="0"/>
          <w:bCs w:val="0"/>
        </w:rPr>
        <w:t xml:space="preserve">. </w:t>
      </w:r>
    </w:p>
    <w:p w:rsidRPr="005E1656" w:rsidR="0022398B" w:rsidP="006D4228" w:rsidRDefault="005E1656" w14:paraId="3D88487C" w14:textId="373EDBF9">
      <w:pPr>
        <w:pStyle w:val="Heading2"/>
        <w:spacing w:before="100" w:beforeAutospacing="1" w:after="120" w:line="276" w:lineRule="auto"/>
        <w:ind w:left="0" w:firstLine="360"/>
      </w:pPr>
      <w:r>
        <w:t>Consult on</w:t>
      </w:r>
      <w:r w:rsidR="00E75174">
        <w:t xml:space="preserve"> the</w:t>
      </w:r>
      <w:r>
        <w:t xml:space="preserve"> development of new equity metrics</w:t>
      </w:r>
      <w:bookmarkEnd w:id="7"/>
    </w:p>
    <w:p w:rsidR="3AFABAA3" w:rsidP="00C106FE" w:rsidRDefault="3AFABAA3" w14:paraId="7BBF33C2" w14:textId="6B6F0211">
      <w:pPr>
        <w:pStyle w:val="ListParagraph"/>
        <w:numPr>
          <w:ilvl w:val="1"/>
          <w:numId w:val="22"/>
        </w:numPr>
        <w:spacing w:before="100" w:beforeAutospacing="1" w:after="120" w:line="276" w:lineRule="auto"/>
        <w:ind w:left="360"/>
        <w:rPr>
          <w:rFonts w:eastAsiaTheme="minorEastAsia"/>
          <w:color w:val="000000" w:themeColor="text1"/>
        </w:rPr>
      </w:pPr>
      <w:r w:rsidRPr="07366EEB">
        <w:rPr>
          <w:rFonts w:ascii="Calibri" w:hAnsi="Calibri" w:eastAsia="Calibri" w:cs="Calibri"/>
          <w:color w:val="000000" w:themeColor="text1"/>
        </w:rPr>
        <w:t>Analyzing findings of the utility-driven data collection on program participation and energy reduction across various E3 recommended dimensions</w:t>
      </w:r>
      <w:r w:rsidR="00B11918">
        <w:rPr>
          <w:rFonts w:ascii="Calibri" w:hAnsi="Calibri" w:eastAsia="Calibri" w:cs="Calibri"/>
          <w:color w:val="000000" w:themeColor="text1"/>
        </w:rPr>
        <w:t>.</w:t>
      </w:r>
    </w:p>
    <w:p w:rsidR="62DB454A" w:rsidP="00C106FE" w:rsidRDefault="62DB454A" w14:paraId="099AA0EB" w14:textId="1CAF4482">
      <w:pPr>
        <w:pStyle w:val="ListParagraph"/>
        <w:numPr>
          <w:ilvl w:val="1"/>
          <w:numId w:val="22"/>
        </w:numPr>
        <w:spacing w:before="100" w:beforeAutospacing="1" w:after="120" w:line="276" w:lineRule="auto"/>
        <w:ind w:left="360"/>
        <w:rPr>
          <w:color w:val="000000" w:themeColor="text1"/>
        </w:rPr>
      </w:pPr>
      <w:r w:rsidRPr="07366EEB">
        <w:rPr>
          <w:rFonts w:ascii="Calibri" w:hAnsi="Calibri" w:eastAsia="Calibri" w:cs="Calibri"/>
          <w:color w:val="000000" w:themeColor="text1"/>
        </w:rPr>
        <w:t>Developing systems to track energy efficiency supplier diversity and metrics to promote a diverse supplier pool</w:t>
      </w:r>
      <w:r w:rsidR="00B11918">
        <w:rPr>
          <w:rFonts w:ascii="Calibri" w:hAnsi="Calibri" w:eastAsia="Calibri" w:cs="Calibri"/>
          <w:color w:val="000000" w:themeColor="text1"/>
        </w:rPr>
        <w:t>.</w:t>
      </w:r>
    </w:p>
    <w:p w:rsidR="62DB454A" w:rsidP="00C106FE" w:rsidRDefault="62DB454A" w14:paraId="0B11669C" w14:textId="0AE3EC4C">
      <w:pPr>
        <w:pStyle w:val="ListParagraph"/>
        <w:numPr>
          <w:ilvl w:val="1"/>
          <w:numId w:val="22"/>
        </w:numPr>
        <w:spacing w:before="100" w:beforeAutospacing="1" w:after="120" w:line="276" w:lineRule="auto"/>
        <w:ind w:left="360"/>
        <w:rPr>
          <w:color w:val="000000" w:themeColor="text1"/>
        </w:rPr>
      </w:pPr>
      <w:r w:rsidRPr="07366EEB">
        <w:rPr>
          <w:rFonts w:ascii="Calibri" w:hAnsi="Calibri" w:eastAsia="Calibri" w:cs="Calibri"/>
          <w:color w:val="000000" w:themeColor="text1"/>
        </w:rPr>
        <w:t>Examining the current secondary equity metrics for the commercial and industrial (C&amp;I) sector and consulting on the measurement and advancement of equity in the C&amp;I sector</w:t>
      </w:r>
      <w:r w:rsidR="00B11918">
        <w:rPr>
          <w:rFonts w:ascii="Calibri" w:hAnsi="Calibri" w:eastAsia="Calibri" w:cs="Calibri"/>
          <w:color w:val="000000" w:themeColor="text1"/>
        </w:rPr>
        <w:t>.</w:t>
      </w:r>
    </w:p>
    <w:p w:rsidRPr="00871376" w:rsidR="3AFABAA3" w:rsidP="00C106FE" w:rsidRDefault="3AFABAA3" w14:paraId="01D9B5D1" w14:textId="64ECD482">
      <w:pPr>
        <w:pStyle w:val="ListParagraph"/>
        <w:numPr>
          <w:ilvl w:val="1"/>
          <w:numId w:val="22"/>
        </w:numPr>
        <w:spacing w:before="100" w:beforeAutospacing="1" w:after="120" w:line="276" w:lineRule="auto"/>
        <w:ind w:left="360"/>
        <w:rPr>
          <w:rFonts w:eastAsiaTheme="minorEastAsia"/>
          <w:color w:val="000000" w:themeColor="text1"/>
        </w:rPr>
      </w:pPr>
      <w:r w:rsidRPr="07366EEB">
        <w:rPr>
          <w:rFonts w:ascii="Calibri" w:hAnsi="Calibri" w:eastAsia="Calibri" w:cs="Calibri"/>
          <w:color w:val="000000" w:themeColor="text1"/>
        </w:rPr>
        <w:t xml:space="preserve">Working with </w:t>
      </w:r>
      <w:r w:rsidRPr="07366EEB" w:rsidR="4309F75E">
        <w:rPr>
          <w:rFonts w:ascii="Calibri" w:hAnsi="Calibri" w:eastAsia="Calibri" w:cs="Calibri"/>
          <w:color w:val="000000" w:themeColor="text1"/>
        </w:rPr>
        <w:t>the EEB and DEEP</w:t>
      </w:r>
      <w:r w:rsidRPr="07366EEB">
        <w:rPr>
          <w:rFonts w:ascii="Calibri" w:hAnsi="Calibri" w:eastAsia="Calibri" w:cs="Calibri"/>
          <w:color w:val="000000" w:themeColor="text1"/>
        </w:rPr>
        <w:t xml:space="preserve"> to develop impactful equity goals/metrics based on above analysis</w:t>
      </w:r>
      <w:r w:rsidR="00B11918">
        <w:rPr>
          <w:rFonts w:ascii="Calibri" w:hAnsi="Calibri" w:eastAsia="Calibri" w:cs="Calibri"/>
          <w:color w:val="000000" w:themeColor="text1"/>
        </w:rPr>
        <w:t>.</w:t>
      </w:r>
    </w:p>
    <w:p w:rsidRPr="005E1656" w:rsidR="0022398B" w:rsidP="00C106FE" w:rsidRDefault="00871376" w14:paraId="13FF6ED2" w14:textId="3E5C92F6">
      <w:pPr>
        <w:pStyle w:val="ListParagraph"/>
        <w:numPr>
          <w:ilvl w:val="1"/>
          <w:numId w:val="22"/>
        </w:numPr>
        <w:spacing w:before="100" w:beforeAutospacing="1" w:after="120" w:line="276" w:lineRule="auto"/>
        <w:ind w:left="360"/>
      </w:pPr>
      <w:r>
        <w:t>Support a commitment to accountability on DEI goals by identifying relevant metrics, implementing assessment mechanisms for accountability, and communicating progress at regular intervals.</w:t>
      </w:r>
    </w:p>
    <w:p w:rsidRPr="005E1656" w:rsidR="0022398B" w:rsidP="006D4228" w:rsidRDefault="005E1656" w14:paraId="6294AB49" w14:textId="083C4D2A">
      <w:pPr>
        <w:pStyle w:val="Heading2"/>
        <w:spacing w:before="100" w:beforeAutospacing="1" w:after="120" w:line="276" w:lineRule="auto"/>
        <w:ind w:left="0" w:firstLine="360"/>
      </w:pPr>
      <w:bookmarkStart w:name="_Toc79146588" w:id="8"/>
      <w:r>
        <w:t>Consult on the design and implementation of c</w:t>
      </w:r>
      <w:r w:rsidRPr="0022398B" w:rsidR="375BEA2B">
        <w:t xml:space="preserve">ommunity </w:t>
      </w:r>
      <w:r>
        <w:t>o</w:t>
      </w:r>
      <w:r w:rsidRPr="0022398B" w:rsidR="375BEA2B">
        <w:t xml:space="preserve">utreach </w:t>
      </w:r>
      <w:r>
        <w:t>s</w:t>
      </w:r>
      <w:r w:rsidRPr="0022398B" w:rsidR="375BEA2B">
        <w:t>trateg</w:t>
      </w:r>
      <w:r>
        <w:t>ies</w:t>
      </w:r>
      <w:bookmarkEnd w:id="8"/>
      <w:r>
        <w:t xml:space="preserve"> </w:t>
      </w:r>
    </w:p>
    <w:p w:rsidRPr="0022398B" w:rsidR="16AE5CC4" w:rsidP="00C106FE" w:rsidRDefault="16AE5CC4" w14:paraId="680E793C" w14:textId="671639E3">
      <w:pPr>
        <w:pStyle w:val="ListParagraph"/>
        <w:numPr>
          <w:ilvl w:val="0"/>
          <w:numId w:val="21"/>
        </w:numPr>
        <w:spacing w:before="100" w:beforeAutospacing="1" w:after="120" w:line="276" w:lineRule="auto"/>
        <w:ind w:left="360"/>
        <w:rPr>
          <w:color w:val="000000" w:themeColor="text1"/>
        </w:rPr>
      </w:pPr>
      <w:r w:rsidRPr="0022398B">
        <w:rPr>
          <w:rFonts w:ascii="Calibri" w:hAnsi="Calibri" w:eastAsia="Calibri" w:cs="Calibri"/>
          <w:color w:val="000000" w:themeColor="text1"/>
        </w:rPr>
        <w:t>Monitor, and if needed, assist in the delivery of the Utilities</w:t>
      </w:r>
      <w:r w:rsidRPr="0022398B" w:rsidR="19DA8B69">
        <w:rPr>
          <w:rFonts w:ascii="Calibri" w:hAnsi="Calibri" w:eastAsia="Calibri" w:cs="Calibri"/>
          <w:color w:val="000000" w:themeColor="text1"/>
        </w:rPr>
        <w:t>’</w:t>
      </w:r>
      <w:r w:rsidRPr="0022398B">
        <w:rPr>
          <w:rFonts w:ascii="Calibri" w:hAnsi="Calibri" w:eastAsia="Calibri" w:cs="Calibri"/>
          <w:color w:val="000000" w:themeColor="text1"/>
        </w:rPr>
        <w:t xml:space="preserve"> </w:t>
      </w:r>
      <w:hyperlink w:history="1" r:id="rId15">
        <w:r w:rsidRPr="0022398B">
          <w:rPr>
            <w:rStyle w:val="Hyperlink"/>
            <w:rFonts w:ascii="Calibri" w:hAnsi="Calibri" w:eastAsia="Calibri" w:cs="Calibri"/>
          </w:rPr>
          <w:t>Community Partnership for Energy Efficiency Engagement Initiative</w:t>
        </w:r>
      </w:hyperlink>
      <w:r w:rsidRPr="0022398B">
        <w:rPr>
          <w:rFonts w:ascii="Calibri" w:hAnsi="Calibri" w:eastAsia="Calibri" w:cs="Calibri"/>
          <w:color w:val="000000" w:themeColor="text1"/>
        </w:rPr>
        <w:t>, which launched its first round of funding application</w:t>
      </w:r>
      <w:r w:rsidRPr="0022398B" w:rsidR="619C3C9B">
        <w:rPr>
          <w:rFonts w:ascii="Calibri" w:hAnsi="Calibri" w:eastAsia="Calibri" w:cs="Calibri"/>
          <w:color w:val="000000" w:themeColor="text1"/>
        </w:rPr>
        <w:t>s in July 2021.</w:t>
      </w:r>
    </w:p>
    <w:p w:rsidRPr="0022398B" w:rsidR="3AFABAA3" w:rsidP="00C106FE" w:rsidRDefault="3AFABAA3" w14:paraId="51973595" w14:textId="45B4A500">
      <w:pPr>
        <w:pStyle w:val="ListParagraph"/>
        <w:numPr>
          <w:ilvl w:val="0"/>
          <w:numId w:val="21"/>
        </w:numPr>
        <w:spacing w:before="100" w:beforeAutospacing="1" w:after="120" w:line="276" w:lineRule="auto"/>
        <w:ind w:left="360"/>
        <w:rPr>
          <w:rFonts w:eastAsiaTheme="minorEastAsia"/>
          <w:color w:val="000000" w:themeColor="text1"/>
        </w:rPr>
      </w:pPr>
      <w:r w:rsidRPr="0022398B">
        <w:rPr>
          <w:rFonts w:ascii="Calibri" w:hAnsi="Calibri" w:eastAsia="Calibri" w:cs="Calibri"/>
          <w:color w:val="000000" w:themeColor="text1"/>
        </w:rPr>
        <w:t xml:space="preserve">Advise on the development of the utilities’ Communities RFP outreach strategy, including: </w:t>
      </w:r>
    </w:p>
    <w:p w:rsidRPr="0022398B" w:rsidR="3AFABAA3" w:rsidP="00C106FE" w:rsidRDefault="3AFABAA3" w14:paraId="75AFA34C" w14:textId="50B9691A">
      <w:pPr>
        <w:pStyle w:val="ListParagraph"/>
        <w:numPr>
          <w:ilvl w:val="1"/>
          <w:numId w:val="21"/>
        </w:numPr>
        <w:spacing w:before="100" w:beforeAutospacing="1" w:after="120" w:line="276" w:lineRule="auto"/>
        <w:ind w:left="1080"/>
        <w:rPr>
          <w:rFonts w:eastAsiaTheme="minorEastAsia"/>
          <w:color w:val="000000" w:themeColor="text1"/>
        </w:rPr>
      </w:pPr>
      <w:r w:rsidRPr="0022398B">
        <w:rPr>
          <w:rFonts w:ascii="Calibri" w:hAnsi="Calibri" w:eastAsia="Calibri" w:cs="Calibri"/>
          <w:color w:val="000000" w:themeColor="text1"/>
        </w:rPr>
        <w:t xml:space="preserve">Identifying underserved communities that should be targeted by the RFP </w:t>
      </w:r>
    </w:p>
    <w:p w:rsidRPr="0022398B" w:rsidR="3AFABAA3" w:rsidP="00C106FE" w:rsidRDefault="3AFABAA3" w14:paraId="1B101CB1" w14:textId="0F2C0FA6">
      <w:pPr>
        <w:pStyle w:val="ListParagraph"/>
        <w:numPr>
          <w:ilvl w:val="1"/>
          <w:numId w:val="21"/>
        </w:numPr>
        <w:spacing w:before="100" w:beforeAutospacing="1" w:after="120" w:line="276" w:lineRule="auto"/>
        <w:ind w:left="1080"/>
        <w:rPr>
          <w:rFonts w:eastAsiaTheme="minorEastAsia"/>
          <w:color w:val="000000" w:themeColor="text1"/>
        </w:rPr>
      </w:pPr>
      <w:r w:rsidRPr="0022398B">
        <w:rPr>
          <w:rFonts w:ascii="Calibri" w:hAnsi="Calibri" w:eastAsia="Calibri" w:cs="Calibri"/>
          <w:color w:val="000000" w:themeColor="text1"/>
        </w:rPr>
        <w:t>Ensuring the outreach strategy adds value over current approaches to help achieve stated program goals and metrics</w:t>
      </w:r>
    </w:p>
    <w:p w:rsidRPr="005E1656" w:rsidR="005E1656" w:rsidP="00C106FE" w:rsidRDefault="3AFABAA3" w14:paraId="74A8067D" w14:textId="77777777">
      <w:pPr>
        <w:pStyle w:val="ListParagraph"/>
        <w:numPr>
          <w:ilvl w:val="1"/>
          <w:numId w:val="21"/>
        </w:numPr>
        <w:spacing w:before="100" w:beforeAutospacing="1" w:after="120" w:line="276" w:lineRule="auto"/>
        <w:ind w:left="1080"/>
        <w:rPr>
          <w:rFonts w:eastAsiaTheme="minorEastAsia"/>
          <w:color w:val="000000" w:themeColor="text1"/>
        </w:rPr>
      </w:pPr>
      <w:r w:rsidRPr="0022398B">
        <w:rPr>
          <w:rFonts w:ascii="Calibri" w:hAnsi="Calibri" w:eastAsia="Calibri" w:cs="Calibri"/>
          <w:color w:val="000000" w:themeColor="text1"/>
        </w:rPr>
        <w:t>Reviewing the RFP for ease of use and effectiveness in reaching targeted communities</w:t>
      </w:r>
    </w:p>
    <w:p w:rsidRPr="005E1656" w:rsidR="005E1656" w:rsidP="00C106FE" w:rsidRDefault="19F61BE2" w14:paraId="6F9BD6DA" w14:textId="77777777">
      <w:pPr>
        <w:pStyle w:val="ListParagraph"/>
        <w:numPr>
          <w:ilvl w:val="0"/>
          <w:numId w:val="21"/>
        </w:numPr>
        <w:spacing w:before="100" w:beforeAutospacing="1" w:after="120" w:line="276" w:lineRule="auto"/>
        <w:ind w:left="360"/>
        <w:rPr>
          <w:rFonts w:eastAsiaTheme="minorEastAsia"/>
          <w:color w:val="000000" w:themeColor="text1"/>
        </w:rPr>
      </w:pPr>
      <w:r w:rsidRPr="005E1656">
        <w:rPr>
          <w:rFonts w:ascii="Calibri" w:hAnsi="Calibri" w:eastAsia="Calibri" w:cs="Calibri"/>
          <w:color w:val="000000" w:themeColor="text1"/>
        </w:rPr>
        <w:t>Consult on the development of additional outreach strategies informed by the outcomes of the data tracking and metrics activities described above.</w:t>
      </w:r>
    </w:p>
    <w:p w:rsidRPr="005E1656" w:rsidR="3AFABAA3" w:rsidP="00C106FE" w:rsidRDefault="6550DD4F" w14:paraId="45276544" w14:textId="2293A3E5">
      <w:pPr>
        <w:pStyle w:val="ListParagraph"/>
        <w:numPr>
          <w:ilvl w:val="0"/>
          <w:numId w:val="21"/>
        </w:numPr>
        <w:spacing w:before="100" w:beforeAutospacing="1" w:after="120" w:line="276" w:lineRule="auto"/>
        <w:ind w:left="360"/>
        <w:rPr>
          <w:rFonts w:eastAsiaTheme="minorEastAsia"/>
          <w:color w:val="000000" w:themeColor="text1"/>
        </w:rPr>
      </w:pPr>
      <w:r w:rsidRPr="005E1656">
        <w:rPr>
          <w:rFonts w:ascii="Calibri" w:hAnsi="Calibri" w:eastAsia="Calibri" w:cs="Calibri"/>
          <w:color w:val="000000" w:themeColor="text1"/>
        </w:rPr>
        <w:t>In coordination and consultation with the Evaluation Administrator, d</w:t>
      </w:r>
      <w:r w:rsidRPr="005E1656" w:rsidR="3AFABAA3">
        <w:rPr>
          <w:rFonts w:ascii="Calibri" w:hAnsi="Calibri" w:eastAsia="Calibri" w:cs="Calibri"/>
          <w:color w:val="000000" w:themeColor="text1"/>
        </w:rPr>
        <w:t xml:space="preserve">evelop and assist in the delivery of surveys </w:t>
      </w:r>
      <w:r w:rsidR="00270909">
        <w:rPr>
          <w:rFonts w:ascii="Calibri" w:hAnsi="Calibri" w:eastAsia="Calibri" w:cs="Calibri"/>
          <w:color w:val="000000" w:themeColor="text1"/>
        </w:rPr>
        <w:t>or</w:t>
      </w:r>
      <w:r w:rsidRPr="005E1656" w:rsidR="3AFABAA3">
        <w:rPr>
          <w:rFonts w:ascii="Calibri" w:hAnsi="Calibri" w:eastAsia="Calibri" w:cs="Calibri"/>
          <w:color w:val="000000" w:themeColor="text1"/>
        </w:rPr>
        <w:t xml:space="preserve"> focus groups to track: </w:t>
      </w:r>
    </w:p>
    <w:p w:rsidRPr="005E1656" w:rsidR="3AFABAA3" w:rsidP="00C106FE" w:rsidRDefault="3AFABAA3" w14:paraId="4B832A3B" w14:textId="30412BDD">
      <w:pPr>
        <w:pStyle w:val="ListParagraph"/>
        <w:numPr>
          <w:ilvl w:val="1"/>
          <w:numId w:val="21"/>
        </w:numPr>
        <w:spacing w:before="100" w:beforeAutospacing="1" w:after="120" w:line="276" w:lineRule="auto"/>
        <w:ind w:left="1080"/>
        <w:rPr>
          <w:rFonts w:eastAsiaTheme="minorEastAsia"/>
          <w:color w:val="000000" w:themeColor="text1"/>
        </w:rPr>
      </w:pPr>
      <w:r w:rsidRPr="005E1656">
        <w:rPr>
          <w:rFonts w:ascii="Calibri" w:hAnsi="Calibri" w:eastAsia="Calibri" w:cs="Calibri"/>
          <w:color w:val="000000" w:themeColor="text1"/>
        </w:rPr>
        <w:t xml:space="preserve">Impacts of residential energy efficiency programs on customer hardship, quality of life, health, and other quantitative </w:t>
      </w:r>
      <w:r w:rsidRPr="005E1656" w:rsidR="002C2DDF">
        <w:rPr>
          <w:rFonts w:ascii="Calibri" w:hAnsi="Calibri" w:eastAsia="Calibri" w:cs="Calibri"/>
          <w:color w:val="000000" w:themeColor="text1"/>
        </w:rPr>
        <w:t xml:space="preserve">and qualitative </w:t>
      </w:r>
      <w:r w:rsidRPr="005E1656">
        <w:rPr>
          <w:rFonts w:ascii="Calibri" w:hAnsi="Calibri" w:eastAsia="Calibri" w:cs="Calibri"/>
          <w:color w:val="000000" w:themeColor="text1"/>
        </w:rPr>
        <w:t xml:space="preserve">non-energy impacts. </w:t>
      </w:r>
    </w:p>
    <w:p w:rsidRPr="00270909" w:rsidR="002C2DDF" w:rsidP="00C106FE" w:rsidRDefault="3AFABAA3" w14:paraId="3A63D24E" w14:textId="28C78358">
      <w:pPr>
        <w:pStyle w:val="ListParagraph"/>
        <w:numPr>
          <w:ilvl w:val="1"/>
          <w:numId w:val="21"/>
        </w:numPr>
        <w:spacing w:before="100" w:beforeAutospacing="1" w:after="120" w:line="276" w:lineRule="auto"/>
        <w:ind w:left="1080"/>
        <w:rPr>
          <w:rFonts w:eastAsiaTheme="minorEastAsia"/>
          <w:color w:val="000000" w:themeColor="text1"/>
        </w:rPr>
      </w:pPr>
      <w:r w:rsidRPr="005E1656">
        <w:rPr>
          <w:rFonts w:ascii="Calibri" w:hAnsi="Calibri" w:eastAsia="Calibri" w:cs="Calibri"/>
          <w:color w:val="000000" w:themeColor="text1"/>
        </w:rPr>
        <w:t xml:space="preserve">Barriers to access </w:t>
      </w:r>
      <w:r w:rsidRPr="005E1656" w:rsidR="00270909">
        <w:rPr>
          <w:rFonts w:eastAsiaTheme="minorEastAsia"/>
          <w:color w:val="000000" w:themeColor="text1"/>
        </w:rPr>
        <w:t>among renters</w:t>
      </w:r>
      <w:r w:rsidR="00270909">
        <w:rPr>
          <w:rFonts w:eastAsiaTheme="minorEastAsia"/>
          <w:color w:val="000000" w:themeColor="text1"/>
        </w:rPr>
        <w:t xml:space="preserve"> and </w:t>
      </w:r>
      <w:r w:rsidRPr="00270909" w:rsidR="00270909">
        <w:rPr>
          <w:rFonts w:eastAsiaTheme="minorEastAsia"/>
          <w:color w:val="000000" w:themeColor="text1"/>
        </w:rPr>
        <w:t>multifamily buildings</w:t>
      </w:r>
      <w:r w:rsidR="00270909">
        <w:rPr>
          <w:rFonts w:ascii="Calibri" w:hAnsi="Calibri" w:eastAsia="Calibri" w:cs="Calibri"/>
          <w:color w:val="000000" w:themeColor="text1"/>
        </w:rPr>
        <w:t xml:space="preserve">, </w:t>
      </w:r>
      <w:r w:rsidRPr="005E1656">
        <w:rPr>
          <w:rFonts w:ascii="Calibri" w:hAnsi="Calibri" w:eastAsia="Calibri" w:cs="Calibri"/>
          <w:color w:val="000000" w:themeColor="text1"/>
        </w:rPr>
        <w:t>moderate-income households</w:t>
      </w:r>
      <w:r w:rsidR="00270909">
        <w:rPr>
          <w:rFonts w:ascii="Calibri" w:hAnsi="Calibri" w:eastAsia="Calibri" w:cs="Calibri"/>
          <w:color w:val="000000" w:themeColor="text1"/>
        </w:rPr>
        <w:t>,</w:t>
      </w:r>
      <w:r w:rsidRPr="00270909" w:rsidR="002C2DDF">
        <w:rPr>
          <w:rFonts w:eastAsiaTheme="minorEastAsia"/>
          <w:color w:val="000000" w:themeColor="text1"/>
        </w:rPr>
        <w:t xml:space="preserve"> </w:t>
      </w:r>
      <w:r w:rsidR="00270909">
        <w:rPr>
          <w:rFonts w:eastAsiaTheme="minorEastAsia"/>
          <w:color w:val="000000" w:themeColor="text1"/>
        </w:rPr>
        <w:t xml:space="preserve">and </w:t>
      </w:r>
      <w:r w:rsidRPr="00270909" w:rsidR="009E7A85">
        <w:rPr>
          <w:rFonts w:eastAsiaTheme="minorEastAsia"/>
          <w:color w:val="000000" w:themeColor="text1"/>
        </w:rPr>
        <w:t>language-isolated</w:t>
      </w:r>
      <w:r w:rsidRPr="00270909" w:rsidR="002C2DDF">
        <w:rPr>
          <w:rFonts w:eastAsiaTheme="minorEastAsia"/>
          <w:color w:val="000000" w:themeColor="text1"/>
        </w:rPr>
        <w:t xml:space="preserve"> households</w:t>
      </w:r>
      <w:r w:rsidR="00270909">
        <w:rPr>
          <w:rFonts w:eastAsiaTheme="minorEastAsia"/>
          <w:color w:val="000000" w:themeColor="text1"/>
        </w:rPr>
        <w:t>.</w:t>
      </w:r>
    </w:p>
    <w:p w:rsidRPr="00CE57C2" w:rsidR="00E86071" w:rsidP="006D4228" w:rsidRDefault="005E1656" w14:paraId="56EEA1D8" w14:textId="5979C6EA">
      <w:pPr>
        <w:pStyle w:val="Heading2"/>
        <w:spacing w:before="100" w:beforeAutospacing="1" w:after="120" w:line="276" w:lineRule="auto"/>
        <w:ind w:left="0" w:firstLine="360"/>
      </w:pPr>
      <w:bookmarkStart w:name="_Toc79146589" w:id="9"/>
      <w:r>
        <w:t xml:space="preserve">Maintain regular </w:t>
      </w:r>
      <w:r w:rsidRPr="00CE57C2" w:rsidR="00E86071">
        <w:t xml:space="preserve">Board </w:t>
      </w:r>
      <w:r>
        <w:t>i</w:t>
      </w:r>
      <w:r w:rsidRPr="00CE57C2" w:rsidR="00E86071">
        <w:t>nteraction</w:t>
      </w:r>
      <w:r>
        <w:t xml:space="preserve"> and collaboration</w:t>
      </w:r>
      <w:bookmarkEnd w:id="9"/>
    </w:p>
    <w:p w:rsidR="00E86071" w:rsidP="00C106FE" w:rsidRDefault="00E86071" w14:paraId="5C7F961E" w14:textId="5975EE7F">
      <w:pPr>
        <w:pStyle w:val="ListParagraph"/>
        <w:numPr>
          <w:ilvl w:val="0"/>
          <w:numId w:val="23"/>
        </w:numPr>
        <w:spacing w:before="100" w:beforeAutospacing="1" w:after="120" w:line="276" w:lineRule="auto"/>
        <w:ind w:left="360"/>
      </w:pPr>
      <w:r>
        <w:t>Attend monthly EEB meetings and Board Committee meetings as appropriate</w:t>
      </w:r>
      <w:r w:rsidR="00B11918">
        <w:t>.</w:t>
      </w:r>
    </w:p>
    <w:p w:rsidR="00E86071" w:rsidP="00C106FE" w:rsidRDefault="00E86071" w14:paraId="69146C9D" w14:textId="1C4B6D8F">
      <w:pPr>
        <w:pStyle w:val="ListParagraph"/>
        <w:numPr>
          <w:ilvl w:val="0"/>
          <w:numId w:val="23"/>
        </w:numPr>
        <w:spacing w:before="100" w:beforeAutospacing="1" w:after="120" w:line="276" w:lineRule="auto"/>
        <w:ind w:left="360"/>
      </w:pPr>
      <w:r>
        <w:t>Present on progress and topics of interest as requested by the EEB during monthly meetings</w:t>
      </w:r>
      <w:r w:rsidR="00B11918">
        <w:t>.</w:t>
      </w:r>
    </w:p>
    <w:p w:rsidRPr="00E953E8" w:rsidR="00E953E8" w:rsidP="769D39E1" w:rsidRDefault="600E1BDC" w14:paraId="26AB25A2" w14:textId="14B6BE40">
      <w:pPr>
        <w:pStyle w:val="ListParagraph"/>
        <w:numPr>
          <w:ilvl w:val="0"/>
          <w:numId w:val="23"/>
        </w:numPr>
        <w:spacing w:before="100" w:beforeAutospacing="1" w:after="120" w:line="276" w:lineRule="auto"/>
        <w:ind w:left="360"/>
        <w:rPr>
          <w:rFonts w:eastAsiaTheme="minorEastAsia"/>
        </w:rPr>
      </w:pPr>
      <w:r>
        <w:t xml:space="preserve">Consult on the development of the 2023 C&amp;LM Plan Update, which the utilities will begin drafting in 2022 and submit for DEEP approval in November </w:t>
      </w:r>
      <w:r w:rsidR="00475000">
        <w:t>2022</w:t>
      </w:r>
      <w:bookmarkStart w:name="_Toc79146590" w:id="10"/>
      <w:r w:rsidR="00B11918">
        <w:t>.</w:t>
      </w:r>
    </w:p>
    <w:p w:rsidR="769D39E1" w:rsidP="769D39E1" w:rsidRDefault="769D39E1" w14:paraId="1BFFE8C6" w14:textId="5F8CE0B5">
      <w:pPr>
        <w:pStyle w:val="Heading1"/>
      </w:pPr>
    </w:p>
    <w:p w:rsidR="00C106FE" w:rsidP="001718EB" w:rsidRDefault="00C106FE" w14:paraId="41F70DC7" w14:textId="795DB4E0">
      <w:pPr>
        <w:pStyle w:val="Heading1"/>
      </w:pPr>
      <w:r>
        <w:t xml:space="preserve">APPLICANT </w:t>
      </w:r>
      <w:bookmarkEnd w:id="10"/>
      <w:r w:rsidR="00E12252">
        <w:t>QUALIFICATIONS</w:t>
      </w:r>
    </w:p>
    <w:p w:rsidR="00C106FE" w:rsidP="00C106FE" w:rsidRDefault="00C106FE" w14:paraId="3DD86F2C" w14:textId="6610EE36">
      <w:pPr>
        <w:pStyle w:val="Heading2"/>
        <w:spacing w:before="100" w:beforeAutospacing="1" w:after="120" w:line="276" w:lineRule="auto"/>
        <w:ind w:left="0"/>
      </w:pPr>
      <w:bookmarkStart w:name="_Toc79146591" w:id="11"/>
      <w:r>
        <w:t>Core Qualifications</w:t>
      </w:r>
      <w:bookmarkEnd w:id="11"/>
    </w:p>
    <w:p w:rsidR="00E12252" w:rsidP="00064E87" w:rsidRDefault="00E12252" w14:paraId="50EE2555" w14:textId="2E6031B7">
      <w:pPr>
        <w:pStyle w:val="ListParagraph"/>
        <w:numPr>
          <w:ilvl w:val="0"/>
          <w:numId w:val="4"/>
        </w:numPr>
        <w:spacing w:before="100" w:beforeAutospacing="1" w:after="120" w:line="276" w:lineRule="auto"/>
      </w:pPr>
      <w:r w:rsidRPr="0019494F">
        <w:t>A commitment to the mission and purpose of the CT Energy Efficiency Fund</w:t>
      </w:r>
      <w:r w:rsidRPr="0019494F" w:rsidR="0019494F">
        <w:t xml:space="preserve"> </w:t>
      </w:r>
      <w:r w:rsidR="00717C44">
        <w:t>which seeks to</w:t>
      </w:r>
      <w:r w:rsidRPr="0019494F" w:rsidR="0019494F">
        <w:t xml:space="preserve"> (1) </w:t>
      </w:r>
      <w:r w:rsidR="00717C44">
        <w:t>advance</w:t>
      </w:r>
      <w:r w:rsidRPr="0019494F" w:rsidR="0019494F">
        <w:t xml:space="preserve"> the efficient use of energy, (2) </w:t>
      </w:r>
      <w:r w:rsidR="00717C44">
        <w:t>reduce</w:t>
      </w:r>
      <w:r w:rsidRPr="0019494F" w:rsidR="0019494F">
        <w:t xml:space="preserve"> air pollution and negative environmental impacts, and (3) </w:t>
      </w:r>
      <w:r w:rsidR="00717C44">
        <w:t>promote</w:t>
      </w:r>
      <w:r w:rsidRPr="0019494F" w:rsidR="0019494F">
        <w:t xml:space="preserve"> economic development and energy security.</w:t>
      </w:r>
    </w:p>
    <w:p w:rsidR="00C106FE" w:rsidP="769D39E1" w:rsidRDefault="00C106FE" w14:paraId="332DC9B2" w14:textId="6F789CD9">
      <w:pPr>
        <w:pStyle w:val="ListParagraph"/>
        <w:numPr>
          <w:ilvl w:val="0"/>
          <w:numId w:val="4"/>
        </w:numPr>
        <w:spacing w:before="100" w:beforeAutospacing="1" w:after="120" w:line="276" w:lineRule="auto"/>
      </w:pPr>
      <w:r>
        <w:t>Certified</w:t>
      </w:r>
      <w:r w:rsidR="00E12252">
        <w:t xml:space="preserve"> </w:t>
      </w:r>
      <w:r>
        <w:t>in Diversity, Inclusion and Equity or have more than five years of experience</w:t>
      </w:r>
      <w:r w:rsidR="44760B3D">
        <w:t xml:space="preserve"> </w:t>
      </w:r>
      <w:r w:rsidR="3F6DEDE6">
        <w:t xml:space="preserve">advising on </w:t>
      </w:r>
      <w:r w:rsidR="24372935">
        <w:t>o</w:t>
      </w:r>
      <w:r w:rsidR="3F6DEDE6">
        <w:t xml:space="preserve">r </w:t>
      </w:r>
      <w:r w:rsidR="6607328A">
        <w:t>developing</w:t>
      </w:r>
      <w:r w:rsidR="3F6DEDE6">
        <w:t xml:space="preserve"> programmatic approaches to </w:t>
      </w:r>
      <w:r w:rsidR="44760B3D">
        <w:t>DEI</w:t>
      </w:r>
      <w:r w:rsidR="00A3574B">
        <w:t xml:space="preserve">. Examples of </w:t>
      </w:r>
      <w:r w:rsidR="00224CE3">
        <w:t xml:space="preserve">relevant certifications could include, but are not limited to, </w:t>
      </w:r>
      <w:r w:rsidR="008420EB">
        <w:t xml:space="preserve">DEI certifications offered through </w:t>
      </w:r>
      <w:r w:rsidR="00130984">
        <w:t xml:space="preserve">associations or </w:t>
      </w:r>
      <w:r w:rsidR="008420EB">
        <w:t>major universities, completion of programs offered through</w:t>
      </w:r>
      <w:r w:rsidR="00BF291D">
        <w:t xml:space="preserve"> professional or leadership organizations, or the completion of any coursework or training program in DEI principles. </w:t>
      </w:r>
    </w:p>
    <w:p w:rsidR="00FA5606" w:rsidP="00FA5606" w:rsidRDefault="00C106FE" w14:paraId="791E323A" w14:textId="77777777">
      <w:pPr>
        <w:pStyle w:val="ListParagraph"/>
        <w:numPr>
          <w:ilvl w:val="0"/>
          <w:numId w:val="4"/>
        </w:numPr>
        <w:spacing w:before="100" w:beforeAutospacing="1" w:after="120" w:line="276" w:lineRule="auto"/>
      </w:pPr>
      <w:r>
        <w:t xml:space="preserve">Experience in energy efficiency programs, public policy, or other relevant fields; and in-depth knowledge on the topics or social movements of racial, environmental, climate, and energy justice or equity or other relevant fields. </w:t>
      </w:r>
    </w:p>
    <w:p w:rsidR="00FA5606" w:rsidP="00064E87" w:rsidRDefault="00FA5606" w14:paraId="7830E798" w14:textId="1C725C94">
      <w:pPr>
        <w:pStyle w:val="ListParagraph"/>
        <w:numPr>
          <w:ilvl w:val="0"/>
          <w:numId w:val="4"/>
        </w:numPr>
      </w:pPr>
      <w:r>
        <w:t>Demonstrated facilitation and communication skills along with experience working with multiple stakeholders.</w:t>
      </w:r>
    </w:p>
    <w:p w:rsidRPr="00740916" w:rsidR="00064E87" w:rsidP="00064E87" w:rsidRDefault="00064E87" w14:paraId="6A566764" w14:textId="77777777">
      <w:pPr>
        <w:pStyle w:val="ListParagraph"/>
      </w:pPr>
    </w:p>
    <w:p w:rsidRPr="00064E87" w:rsidR="00C106FE" w:rsidP="00C16E18" w:rsidRDefault="00C106FE" w14:paraId="4761C06F" w14:textId="00FA8537">
      <w:pPr>
        <w:pStyle w:val="ListParagraph"/>
        <w:spacing w:before="100" w:beforeAutospacing="1" w:after="120" w:line="276" w:lineRule="auto"/>
        <w:ind w:left="0"/>
        <w:rPr>
          <w:b/>
          <w:bCs/>
          <w:sz w:val="24"/>
          <w:szCs w:val="24"/>
        </w:rPr>
      </w:pPr>
      <w:bookmarkStart w:name="_Toc79146592" w:id="12"/>
      <w:r w:rsidRPr="00064E87">
        <w:rPr>
          <w:b/>
          <w:bCs/>
          <w:sz w:val="24"/>
          <w:szCs w:val="24"/>
        </w:rPr>
        <w:t>Preferred Qualifications</w:t>
      </w:r>
      <w:bookmarkEnd w:id="12"/>
      <w:r w:rsidRPr="00064E87">
        <w:rPr>
          <w:b/>
          <w:bCs/>
          <w:sz w:val="24"/>
          <w:szCs w:val="24"/>
        </w:rPr>
        <w:t xml:space="preserve"> </w:t>
      </w:r>
    </w:p>
    <w:p w:rsidR="00C106FE" w:rsidP="00C106FE" w:rsidRDefault="00C106FE" w14:paraId="0C20490E" w14:textId="77777777">
      <w:pPr>
        <w:spacing w:before="100" w:beforeAutospacing="1" w:after="120" w:line="276" w:lineRule="auto"/>
      </w:pPr>
      <w:r>
        <w:t>The EEB is looking for qualified candidates to fill the role of DEI Consultant. The following are examples of qualifying experience; it is not expected that any one candidate will have all:</w:t>
      </w:r>
    </w:p>
    <w:p w:rsidR="00C106FE" w:rsidP="00C106FE" w:rsidRDefault="00C106FE" w14:paraId="4D9F52AF" w14:textId="77777777">
      <w:pPr>
        <w:pStyle w:val="ListParagraph"/>
        <w:numPr>
          <w:ilvl w:val="0"/>
          <w:numId w:val="4"/>
        </w:numPr>
        <w:spacing w:before="100" w:beforeAutospacing="1" w:after="120" w:line="276" w:lineRule="auto"/>
        <w:rPr>
          <w:rFonts w:eastAsiaTheme="minorEastAsia"/>
        </w:rPr>
      </w:pPr>
      <w:r>
        <w:t xml:space="preserve">Experience examining Low and Moderate-Income (LMI) and DEI program efforts for the purpose of determining if the programs effectively serve customers in need,  including customers in </w:t>
      </w:r>
      <w:hyperlink w:history="1" r:id="rId16">
        <w:r w:rsidRPr="07366EEB">
          <w:rPr>
            <w:rStyle w:val="Hyperlink"/>
          </w:rPr>
          <w:t>environmental justice</w:t>
        </w:r>
      </w:hyperlink>
      <w:r>
        <w:t xml:space="preserve"> (EJ) communities and/or historically underserved communities. </w:t>
      </w:r>
    </w:p>
    <w:p w:rsidRPr="005E44FE" w:rsidR="00C106FE" w:rsidP="00C106FE" w:rsidRDefault="00C106FE" w14:paraId="7433F10B" w14:textId="77777777">
      <w:pPr>
        <w:pStyle w:val="ListParagraph"/>
        <w:numPr>
          <w:ilvl w:val="0"/>
          <w:numId w:val="4"/>
        </w:numPr>
        <w:spacing w:before="100" w:beforeAutospacing="1" w:after="120" w:line="276" w:lineRule="auto"/>
      </w:pPr>
      <w:r w:rsidRPr="005E44FE">
        <w:t>Experience recommending innovative approaches and models for improving DEI participation in energy efficiency programs, or public programs that included addressing access and participation barriers.</w:t>
      </w:r>
    </w:p>
    <w:p w:rsidRPr="005E44FE" w:rsidR="00C106FE" w:rsidP="00C106FE" w:rsidRDefault="00C106FE" w14:paraId="07B31B4D" w14:textId="77777777">
      <w:pPr>
        <w:pStyle w:val="ListParagraph"/>
        <w:numPr>
          <w:ilvl w:val="0"/>
          <w:numId w:val="4"/>
        </w:numPr>
        <w:spacing w:before="100" w:beforeAutospacing="1" w:after="120" w:line="276" w:lineRule="auto"/>
      </w:pPr>
      <w:r w:rsidRPr="005E44FE">
        <w:t>Experience providing policy analysis and technical assessment for electric and/or gas utilities and/or government agencies</w:t>
      </w:r>
    </w:p>
    <w:p w:rsidR="00C106FE" w:rsidP="00C106FE" w:rsidRDefault="00C106FE" w14:paraId="7D2B0673" w14:textId="77777777">
      <w:pPr>
        <w:pStyle w:val="ListParagraph"/>
        <w:numPr>
          <w:ilvl w:val="0"/>
          <w:numId w:val="4"/>
        </w:numPr>
        <w:spacing w:before="100" w:beforeAutospacing="1" w:after="120" w:line="276" w:lineRule="auto"/>
      </w:pPr>
      <w:r w:rsidRPr="5A37180F">
        <w:t xml:space="preserve">Experience working with energy efficiency advisory councils </w:t>
      </w:r>
      <w:r>
        <w:t xml:space="preserve">or similar public/community councils </w:t>
      </w:r>
      <w:r w:rsidRPr="5A37180F">
        <w:t xml:space="preserve">on an ongoing basis. </w:t>
      </w:r>
    </w:p>
    <w:p w:rsidR="00C106FE" w:rsidP="00C106FE" w:rsidRDefault="00C106FE" w14:paraId="779E230F" w14:textId="77777777">
      <w:pPr>
        <w:pStyle w:val="ListParagraph"/>
        <w:numPr>
          <w:ilvl w:val="0"/>
          <w:numId w:val="4"/>
        </w:numPr>
        <w:spacing w:before="100" w:beforeAutospacing="1" w:after="120" w:line="276" w:lineRule="auto"/>
      </w:pPr>
      <w:r>
        <w:t xml:space="preserve">Experience designing workforce development programs and pipelines, especially those that advance a pathway for fostering economic development in DEI customer communities. </w:t>
      </w:r>
    </w:p>
    <w:p w:rsidR="00C106FE" w:rsidP="00C106FE" w:rsidRDefault="00C106FE" w14:paraId="08B40172" w14:textId="77777777">
      <w:pPr>
        <w:pStyle w:val="ListParagraph"/>
        <w:numPr>
          <w:ilvl w:val="0"/>
          <w:numId w:val="4"/>
        </w:numPr>
        <w:spacing w:before="100" w:beforeAutospacing="1" w:after="120" w:line="276" w:lineRule="auto"/>
      </w:pPr>
      <w:r w:rsidRPr="5A37180F">
        <w:t xml:space="preserve">Experience developing multi-sector partnerships and developing multi-sector engagement forums focused on equity. </w:t>
      </w:r>
    </w:p>
    <w:p w:rsidR="00C106FE" w:rsidP="00C106FE" w:rsidRDefault="00C106FE" w14:paraId="7CA823CA" w14:textId="77777777">
      <w:pPr>
        <w:pStyle w:val="ListParagraph"/>
        <w:numPr>
          <w:ilvl w:val="0"/>
          <w:numId w:val="4"/>
        </w:numPr>
        <w:spacing w:before="100" w:beforeAutospacing="1" w:after="120" w:line="276" w:lineRule="auto"/>
        <w:rPr>
          <w:rFonts w:eastAsiaTheme="minorEastAsia"/>
        </w:rPr>
      </w:pPr>
      <w:r>
        <w:t>Sophisticated in delivering sensitive messages in a culturally appropriate manner and helping build understanding and empathy among the Energy Efficiency Board.</w:t>
      </w:r>
    </w:p>
    <w:p w:rsidRPr="00B378E0" w:rsidR="00C106FE" w:rsidP="00C106FE" w:rsidRDefault="00C106FE" w14:paraId="5971F11F" w14:textId="77777777">
      <w:pPr>
        <w:pStyle w:val="ListParagraph"/>
        <w:numPr>
          <w:ilvl w:val="0"/>
          <w:numId w:val="4"/>
        </w:numPr>
        <w:spacing w:before="100" w:beforeAutospacing="1" w:after="120" w:line="276" w:lineRule="auto"/>
        <w:rPr>
          <w:rFonts w:eastAsiaTheme="minorEastAsia"/>
        </w:rPr>
      </w:pPr>
      <w:r>
        <w:t>Ability to leverage resources, community relationships, and data to ensure involvement, support, and success for diversity, inclusion, and community engagement initiatives.</w:t>
      </w:r>
    </w:p>
    <w:p w:rsidRPr="00C106FE" w:rsidR="00A87E8B" w:rsidP="769D39E1" w:rsidRDefault="00C106FE" w14:paraId="56894321" w14:textId="643800CA">
      <w:pPr>
        <w:pStyle w:val="ListParagraph"/>
        <w:numPr>
          <w:ilvl w:val="0"/>
          <w:numId w:val="4"/>
        </w:numPr>
        <w:spacing w:before="100" w:beforeAutospacing="1" w:after="120" w:line="276" w:lineRule="auto"/>
        <w:rPr>
          <w:rFonts w:eastAsiaTheme="minorEastAsia"/>
        </w:rPr>
      </w:pPr>
      <w:r>
        <w:t>Applicants from Black, Indigenous, People of Color, Women, non-native English speakers, and other people underrepresented in the energy efficiency workforce are encouraged to apply.</w:t>
      </w:r>
    </w:p>
    <w:p w:rsidR="769D39E1" w:rsidP="769D39E1" w:rsidRDefault="769D39E1" w14:paraId="03F22D60" w14:textId="4A445A35">
      <w:pPr>
        <w:pStyle w:val="Heading1"/>
      </w:pPr>
    </w:p>
    <w:p w:rsidR="004C68DB" w:rsidP="001718EB" w:rsidRDefault="29FF97A0" w14:paraId="014E53B3" w14:textId="69615866">
      <w:pPr>
        <w:pStyle w:val="Heading1"/>
      </w:pPr>
      <w:r>
        <w:t xml:space="preserve"> </w:t>
      </w:r>
      <w:bookmarkStart w:name="_Toc79146593" w:id="13"/>
      <w:r w:rsidR="00BA194F">
        <w:t>SUBMISSION</w:t>
      </w:r>
      <w:r w:rsidRPr="64F88602" w:rsidR="004C68DB">
        <w:t xml:space="preserve"> REQUIREMENTS</w:t>
      </w:r>
      <w:bookmarkEnd w:id="13"/>
      <w:r w:rsidRPr="64F88602" w:rsidR="004C68DB">
        <w:t xml:space="preserve"> </w:t>
      </w:r>
    </w:p>
    <w:p w:rsidR="29FF97A0" w:rsidP="769D39E1" w:rsidRDefault="29FF97A0" w14:paraId="7F831E1A" w14:textId="033F5139">
      <w:pPr>
        <w:spacing w:before="100" w:beforeAutospacing="1" w:after="120" w:line="276" w:lineRule="auto"/>
      </w:pPr>
      <w:r>
        <w:t>Applicants should submit a proposal including: qualifications, prior experience,</w:t>
      </w:r>
      <w:r w:rsidR="10E29A52">
        <w:t xml:space="preserve"> two</w:t>
      </w:r>
      <w:r>
        <w:t xml:space="preserve"> references, a response to the </w:t>
      </w:r>
      <w:r w:rsidR="0053795B">
        <w:t>“Work Scope and R</w:t>
      </w:r>
      <w:r>
        <w:t>esponsibilities</w:t>
      </w:r>
      <w:r w:rsidR="0053795B">
        <w:t>”</w:t>
      </w:r>
      <w:r>
        <w:t xml:space="preserve"> detailed above</w:t>
      </w:r>
      <w:r w:rsidR="0053795B">
        <w:t xml:space="preserve"> with an explanation </w:t>
      </w:r>
      <w:r w:rsidR="3F91AD2F">
        <w:t xml:space="preserve">of how </w:t>
      </w:r>
      <w:r w:rsidR="00044AF0">
        <w:t xml:space="preserve">the applicant </w:t>
      </w:r>
      <w:r w:rsidR="54D6742C">
        <w:t xml:space="preserve">plans to </w:t>
      </w:r>
      <w:r w:rsidR="00044AF0">
        <w:t>fulfill</w:t>
      </w:r>
      <w:r w:rsidR="005B3145">
        <w:t xml:space="preserve"> those responsibilities</w:t>
      </w:r>
      <w:r>
        <w:t>, and a proposed budget</w:t>
      </w:r>
      <w:r w:rsidR="00FA5606">
        <w:t xml:space="preserve"> for each of the three years and in total </w:t>
      </w:r>
      <w:r>
        <w:t xml:space="preserve"> with hourly and total compensation, estimated expenses, estimated administrative and support hours, overhead and/or management costs (if applicable), and 6% business service tax on labor (only for Connecticut residents who are consultants). Please limit proposals to </w:t>
      </w:r>
      <w:r w:rsidR="00344438">
        <w:t xml:space="preserve">10 pages for individual consultants and </w:t>
      </w:r>
      <w:r>
        <w:t>15 pages</w:t>
      </w:r>
      <w:r w:rsidR="00344438">
        <w:t xml:space="preserve"> for more than one consultant</w:t>
      </w:r>
      <w:r>
        <w:t xml:space="preserve"> (the page limit does not include supporting reference materials such as resumes, project experience, budget details, etc.). Proposals should address team leadership and </w:t>
      </w:r>
      <w:r w:rsidR="4CBADC11">
        <w:t>how the DEI Consultant proposes to interact with other program consultants</w:t>
      </w:r>
      <w:r>
        <w:t xml:space="preserve">. Applicants must not have any real or perceived conflicts of interest with </w:t>
      </w:r>
      <w:r w:rsidR="00577856">
        <w:t xml:space="preserve">the Connecticut Light </w:t>
      </w:r>
      <w:r w:rsidR="00DE733C">
        <w:t xml:space="preserve">and Power Company d/b/a </w:t>
      </w:r>
      <w:r>
        <w:t xml:space="preserve">Eversource Energy, </w:t>
      </w:r>
      <w:r w:rsidR="00207E3A">
        <w:t xml:space="preserve">the Yankee Gas </w:t>
      </w:r>
      <w:r w:rsidR="007C5547">
        <w:t>C</w:t>
      </w:r>
      <w:r w:rsidR="00207E3A">
        <w:t xml:space="preserve">ompany, </w:t>
      </w:r>
      <w:r w:rsidR="00577856">
        <w:t xml:space="preserve">The </w:t>
      </w:r>
      <w:r>
        <w:t>United Illuminating</w:t>
      </w:r>
      <w:r w:rsidR="00577856">
        <w:t xml:space="preserve"> Company</w:t>
      </w:r>
      <w:r>
        <w:t xml:space="preserve">, Connecticut Natural Gas, or Southern Connecticut Gas. </w:t>
      </w:r>
      <w:r w:rsidR="424BDE03">
        <w:t xml:space="preserve">Bidders should review the </w:t>
      </w:r>
      <w:hyperlink w:history="1" r:id="rId17">
        <w:r w:rsidRPr="00FE6F98" w:rsidR="00DC7266">
          <w:rPr>
            <w:rStyle w:val="Hyperlink"/>
          </w:rPr>
          <w:t>E</w:t>
        </w:r>
        <w:r w:rsidRPr="00FE6F98" w:rsidR="008E0DE8">
          <w:rPr>
            <w:rStyle w:val="Hyperlink"/>
          </w:rPr>
          <w:t xml:space="preserve">EB Operating Procedures </w:t>
        </w:r>
      </w:hyperlink>
      <w:r w:rsidR="00FA5606">
        <w:t xml:space="preserve"> </w:t>
      </w:r>
      <w:r w:rsidR="424BDE03">
        <w:t xml:space="preserve">to assure they understand the requirements of the </w:t>
      </w:r>
      <w:r w:rsidR="008E0DE8">
        <w:t xml:space="preserve">Operating Procedures </w:t>
      </w:r>
      <w:r w:rsidR="424BDE03">
        <w:t xml:space="preserve">as </w:t>
      </w:r>
      <w:r w:rsidR="008E0DE8">
        <w:t xml:space="preserve">they </w:t>
      </w:r>
      <w:r w:rsidR="424BDE03">
        <w:t>relate to the roles and responsibilities of the DEI Consultant.</w:t>
      </w:r>
    </w:p>
    <w:p w:rsidR="769D39E1" w:rsidP="769D39E1" w:rsidRDefault="769D39E1" w14:paraId="0A6CD9C3" w14:textId="43E8B6D0">
      <w:pPr>
        <w:pStyle w:val="Heading1"/>
      </w:pPr>
    </w:p>
    <w:p w:rsidR="00C106FE" w:rsidP="001718EB" w:rsidRDefault="00C106FE" w14:paraId="737691BC" w14:textId="57879DA5">
      <w:pPr>
        <w:pStyle w:val="Heading1"/>
      </w:pPr>
      <w:bookmarkStart w:name="_Toc79146594" w:id="14"/>
      <w:r>
        <w:t>RFP INFORMATION</w:t>
      </w:r>
      <w:bookmarkEnd w:id="14"/>
    </w:p>
    <w:p w:rsidR="00C106FE" w:rsidP="00C106FE" w:rsidRDefault="00C106FE" w14:paraId="26C1C80B" w14:textId="2F1B9FF2">
      <w:pPr>
        <w:pStyle w:val="Heading2"/>
        <w:spacing w:before="100" w:beforeAutospacing="1" w:after="120" w:line="276" w:lineRule="auto"/>
        <w:ind w:left="0"/>
      </w:pPr>
      <w:bookmarkStart w:name="_Toc79146595" w:id="15"/>
      <w:r w:rsidRPr="15343A7F">
        <w:t>Payment Procedure</w:t>
      </w:r>
      <w:bookmarkEnd w:id="15"/>
    </w:p>
    <w:p w:rsidRPr="004C68DB" w:rsidR="00C106FE" w:rsidP="00C106FE" w:rsidRDefault="00C106FE" w14:paraId="73241374" w14:textId="25BABB6D">
      <w:pPr>
        <w:spacing w:before="100" w:beforeAutospacing="1" w:after="120" w:line="276" w:lineRule="auto"/>
      </w:pPr>
      <w:r w:rsidRPr="64F88602">
        <w:t xml:space="preserve">The DEI Consultant shall submit invoices </w:t>
      </w:r>
      <w:r w:rsidR="004579DB">
        <w:t xml:space="preserve">on a regular basis </w:t>
      </w:r>
      <w:r w:rsidRPr="64F88602">
        <w:t xml:space="preserve">to the EEB Consultant Committee. A separate invoice reflecting each company’s share will be prepared for the company’s Accounts Payable Department and supplied to the Company representatives and the Steering Committee. A brief written recap, by date, of activities of the DEI Consultant will also be provided on a </w:t>
      </w:r>
      <w:r w:rsidR="004579DB">
        <w:t>regular</w:t>
      </w:r>
      <w:r w:rsidRPr="64F88602" w:rsidR="004579DB">
        <w:t xml:space="preserve"> </w:t>
      </w:r>
      <w:r w:rsidRPr="64F88602">
        <w:t>basis as part of the invoicing procedure.</w:t>
      </w:r>
    </w:p>
    <w:p w:rsidR="00C106FE" w:rsidP="00C106FE" w:rsidRDefault="00C106FE" w14:paraId="4A0B3197" w14:textId="5211CF49">
      <w:pPr>
        <w:pStyle w:val="Heading2"/>
        <w:spacing w:before="100" w:beforeAutospacing="1" w:after="120" w:line="276" w:lineRule="auto"/>
        <w:ind w:left="0"/>
      </w:pPr>
      <w:bookmarkStart w:name="_Toc79146596" w:id="16"/>
      <w:r>
        <w:t>RFP Terms</w:t>
      </w:r>
      <w:bookmarkEnd w:id="16"/>
      <w:r>
        <w:t xml:space="preserve"> </w:t>
      </w:r>
    </w:p>
    <w:p w:rsidR="00C106FE" w:rsidP="00C106FE" w:rsidRDefault="00C106FE" w14:paraId="2A7A4FCA" w14:textId="1B5583AB">
      <w:pPr>
        <w:spacing w:before="100" w:beforeAutospacing="1" w:after="120" w:line="276" w:lineRule="auto"/>
      </w:pPr>
      <w:r>
        <w:t xml:space="preserve">This RFP does not commit the EEB to award a contract, pay any costs incurred in the preparation of a proposal </w:t>
      </w:r>
      <w:r w:rsidR="00717C44">
        <w:t>in response</w:t>
      </w:r>
      <w:r>
        <w:t xml:space="preserve"> to the RFP, or to procure or contract for services. The EEB reserves the right to accept or reject any or all proposals received </w:t>
      </w:r>
      <w:proofErr w:type="gramStart"/>
      <w:r>
        <w:t>as a result of</w:t>
      </w:r>
      <w:proofErr w:type="gramEnd"/>
      <w:r>
        <w:t xml:space="preserve"> this request, to negotiate with any or all qualified Contractors, or to cancel this RFP in part or in its entirety if it is in their best interest to do so. The EEB reserves the right, in its sole discretion, to reject any or all proposals, to waive any minor irregularities or informalities in a proposal, and to enter into any agreement deemed by EEB to be in the best interest of the ratepayers of the State of Connecticut. The EEB may enter into agreements with one or more of the applicants. The EEB reserves the right to discuss with the selected applicant(s) any terms and conditions, including financial issues, for any proposed project. </w:t>
      </w:r>
    </w:p>
    <w:p w:rsidRPr="001E4AB1" w:rsidR="001E4AB1" w:rsidP="00C106FE" w:rsidRDefault="00C106FE" w14:paraId="604890FA" w14:textId="339F697E">
      <w:pPr>
        <w:spacing w:before="100" w:beforeAutospacing="1" w:after="120" w:line="276" w:lineRule="auto"/>
        <w:rPr>
          <w:rFonts w:eastAsiaTheme="minorEastAsia"/>
        </w:rPr>
      </w:pPr>
      <w:r>
        <w:t>The contract terms and conditions for each Utility will be posted on the RFP page of the EEB website. RFP responses should include either acceptance of the terms and conditions, or a written response on any exceptions to them. The Utilities will determine whether the exceptions can be accommodated.</w:t>
      </w:r>
      <w:r w:rsidRPr="001E4AB1">
        <w:rPr>
          <w:rFonts w:eastAsiaTheme="minorEastAsia"/>
        </w:rPr>
        <w:t xml:space="preserve"> </w:t>
      </w:r>
    </w:p>
    <w:p w:rsidR="009E7564" w:rsidP="00C106FE" w:rsidRDefault="009E7564" w14:paraId="7C261BA3" w14:textId="105492AC">
      <w:pPr>
        <w:pStyle w:val="Heading2"/>
        <w:spacing w:before="100" w:beforeAutospacing="1" w:after="120" w:line="276" w:lineRule="auto"/>
        <w:ind w:left="0"/>
      </w:pPr>
      <w:bookmarkStart w:name="_Toc79146597" w:id="17"/>
      <w:r>
        <w:t>Reporting</w:t>
      </w:r>
      <w:bookmarkEnd w:id="17"/>
      <w:r>
        <w:t xml:space="preserve"> </w:t>
      </w:r>
    </w:p>
    <w:p w:rsidR="5D4959C7" w:rsidP="769D39E1" w:rsidRDefault="5D4959C7" w14:paraId="1531201A" w14:textId="1C128575">
      <w:pPr>
        <w:spacing w:before="100" w:beforeAutospacing="1" w:after="120" w:line="276" w:lineRule="auto"/>
      </w:pPr>
      <w:r>
        <w:t xml:space="preserve">Selected applicant(s) will report directly and solely to the EEB, including submitting </w:t>
      </w:r>
      <w:r w:rsidR="00560527">
        <w:t xml:space="preserve">regular </w:t>
      </w:r>
      <w:r>
        <w:t>invoices</w:t>
      </w:r>
      <w:r w:rsidR="00344438">
        <w:t xml:space="preserve"> </w:t>
      </w:r>
      <w:r>
        <w:t xml:space="preserve">to the EEB Consultant Committee for review and approval. The EEB reserves the right to discuss with the selected applicant(s) any terms and conditions, including financial issues, for any proposed project. </w:t>
      </w:r>
    </w:p>
    <w:p w:rsidR="5D4959C7" w:rsidP="769D39E1" w:rsidRDefault="5D4959C7" w14:paraId="29F9A8EB" w14:textId="73EC376E">
      <w:pPr>
        <w:spacing w:before="100" w:beforeAutospacing="1" w:after="120" w:line="276" w:lineRule="auto"/>
      </w:pPr>
      <w:r>
        <w:t xml:space="preserve">It is estimated the responsibilities of the </w:t>
      </w:r>
      <w:r w:rsidR="7B40B191">
        <w:t>DEI Consultant</w:t>
      </w:r>
      <w:r>
        <w:t xml:space="preserve"> will occupy roughly </w:t>
      </w:r>
      <w:r w:rsidR="2E9B34CE">
        <w:t>40</w:t>
      </w:r>
      <w:r w:rsidR="63F8B54D">
        <w:t xml:space="preserve"> </w:t>
      </w:r>
      <w:r>
        <w:t>hours per month, not including travel time (if any</w:t>
      </w:r>
      <w:r w:rsidR="00560527">
        <w:t>,</w:t>
      </w:r>
      <w:r w:rsidR="00344438">
        <w:t xml:space="preserve"> when needed</w:t>
      </w:r>
      <w:r>
        <w:t xml:space="preserve">). </w:t>
      </w:r>
      <w:r w:rsidR="0022398B">
        <w:t>I</w:t>
      </w:r>
      <w:r w:rsidR="66499D9E">
        <w:t xml:space="preserve">n keeping with state COVID-19 health and safety guidelines, the EEB has been conducting virtual meetings for the past several months; however, there is a possibility that hybrid meetings </w:t>
      </w:r>
      <w:r w:rsidR="49B4094A">
        <w:t xml:space="preserve">(providing both in-person and virtual attendance options) will resume </w:t>
      </w:r>
      <w:proofErr w:type="gramStart"/>
      <w:r w:rsidR="49B4094A">
        <w:t>in the near future</w:t>
      </w:r>
      <w:proofErr w:type="gramEnd"/>
      <w:r w:rsidR="49B4094A">
        <w:t xml:space="preserve">. When this happens, the Consultant will be expected to attend meetings in-person when called upon to do so. </w:t>
      </w:r>
    </w:p>
    <w:p w:rsidRPr="00064E87" w:rsidR="007B13C5" w:rsidP="1CBE64A4" w:rsidRDefault="201354E5" w14:paraId="1B13C6DF" w14:textId="0D969F57">
      <w:pPr>
        <w:pStyle w:val="Heading2"/>
        <w:spacing w:before="100" w:beforeAutospacing="1" w:after="120" w:line="276" w:lineRule="auto"/>
        <w:ind w:left="0"/>
      </w:pPr>
      <w:bookmarkStart w:name="_Toc79146598" w:id="18"/>
      <w:r w:rsidRPr="00064E87">
        <w:t xml:space="preserve">Service </w:t>
      </w:r>
      <w:r w:rsidRPr="00064E87" w:rsidR="1DC0CAF0">
        <w:t>Period</w:t>
      </w:r>
      <w:bookmarkEnd w:id="18"/>
      <w:r w:rsidRPr="00064E87" w:rsidR="1DC0CAF0">
        <w:t xml:space="preserve"> </w:t>
      </w:r>
    </w:p>
    <w:p w:rsidRPr="00064E87" w:rsidR="000D5D0D" w:rsidP="1CBE64A4" w:rsidRDefault="201354E5" w14:paraId="424FEE3F" w14:textId="7872A964">
      <w:pPr>
        <w:spacing w:before="100" w:beforeAutospacing="1" w:after="120" w:line="276" w:lineRule="auto"/>
        <w:rPr>
          <w:strike/>
        </w:rPr>
      </w:pPr>
      <w:r w:rsidRPr="00064E87">
        <w:t>Consulting services within this RFP are for up to</w:t>
      </w:r>
      <w:r w:rsidRPr="00064E87" w:rsidR="0E57AEC4">
        <w:t xml:space="preserve"> </w:t>
      </w:r>
      <w:r w:rsidRPr="00064E87" w:rsidR="723FE263">
        <w:t>3</w:t>
      </w:r>
      <w:r w:rsidRPr="00064E87" w:rsidR="76A810A2">
        <w:t xml:space="preserve"> </w:t>
      </w:r>
      <w:r w:rsidRPr="00064E87" w:rsidR="79E1B828">
        <w:t xml:space="preserve">years, beginning </w:t>
      </w:r>
      <w:r w:rsidRPr="00064E87" w:rsidR="32BCC276">
        <w:t>in February</w:t>
      </w:r>
      <w:r w:rsidRPr="00064E87" w:rsidR="79E1B828">
        <w:t xml:space="preserve"> 202</w:t>
      </w:r>
      <w:r w:rsidRPr="00064E87" w:rsidR="7FDAAD99">
        <w:t>2</w:t>
      </w:r>
      <w:r w:rsidRPr="00064E87" w:rsidR="79E1B828">
        <w:t xml:space="preserve"> and ending on </w:t>
      </w:r>
      <w:r w:rsidRPr="00064E87" w:rsidR="5195824F">
        <w:t>D</w:t>
      </w:r>
      <w:r w:rsidRPr="00064E87" w:rsidR="41CD1E8B">
        <w:t>ecember 31, 2024</w:t>
      </w:r>
      <w:r w:rsidRPr="00064E87" w:rsidR="79E1B828">
        <w:t xml:space="preserve">, with the understanding that the </w:t>
      </w:r>
      <w:r w:rsidRPr="00064E87" w:rsidR="3D1BBA34">
        <w:t>DEI Consultant</w:t>
      </w:r>
      <w:r w:rsidRPr="00064E87" w:rsidR="79E1B828">
        <w:t xml:space="preserve"> will be evaluated annually and the EEB will have the option to renew</w:t>
      </w:r>
      <w:r w:rsidRPr="00064E87" w:rsidR="24361AB0">
        <w:t xml:space="preserve"> or </w:t>
      </w:r>
      <w:r w:rsidRPr="00064E87" w:rsidR="3CBBBC1A">
        <w:t>refuse to renew the</w:t>
      </w:r>
      <w:r w:rsidRPr="00064E87" w:rsidR="0933F51E">
        <w:t xml:space="preserve"> contract</w:t>
      </w:r>
      <w:r w:rsidRPr="00064E87" w:rsidR="79E1B828">
        <w:t xml:space="preserve"> on an annual basis. Proposals should include pricing information</w:t>
      </w:r>
      <w:r w:rsidRPr="00064E87" w:rsidR="605801ED">
        <w:t xml:space="preserve"> for each year</w:t>
      </w:r>
      <w:r w:rsidRPr="00064E87" w:rsidR="582BD21A">
        <w:t xml:space="preserve"> (2022, 2023, 2024)</w:t>
      </w:r>
      <w:r w:rsidRPr="00064E87" w:rsidR="605801ED">
        <w:t xml:space="preserve"> and in total</w:t>
      </w:r>
      <w:r w:rsidRPr="00064E87" w:rsidR="660E3796">
        <w:t xml:space="preserve">. Proposals should include </w:t>
      </w:r>
      <w:r w:rsidRPr="00064E87" w:rsidR="605801ED">
        <w:t xml:space="preserve">annual </w:t>
      </w:r>
      <w:r w:rsidRPr="00064E87" w:rsidR="660E3796">
        <w:t xml:space="preserve">scopes of work </w:t>
      </w:r>
      <w:r w:rsidRPr="00064E87" w:rsidR="605801ED">
        <w:t xml:space="preserve">starting in </w:t>
      </w:r>
      <w:r w:rsidRPr="00064E87" w:rsidR="3C444C85">
        <w:t xml:space="preserve">February </w:t>
      </w:r>
      <w:r w:rsidRPr="00064E87" w:rsidR="660E3796">
        <w:t>2022 through December 2022</w:t>
      </w:r>
      <w:r w:rsidRPr="00064E87" w:rsidR="605801ED">
        <w:t xml:space="preserve"> as well as for years 2023 and year 2024</w:t>
      </w:r>
      <w:r w:rsidRPr="00064E87" w:rsidR="660E3796">
        <w:t xml:space="preserve">. </w:t>
      </w:r>
    </w:p>
    <w:p w:rsidR="769D39E1" w:rsidP="00064E87" w:rsidRDefault="769D39E1" w14:paraId="43DD5B6B" w14:textId="5B77B3AD">
      <w:pPr>
        <w:pStyle w:val="Heading1"/>
        <w:jc w:val="left"/>
      </w:pPr>
    </w:p>
    <w:p w:rsidR="00780CDB" w:rsidP="001718EB" w:rsidRDefault="00780CDB" w14:paraId="4B65C86D" w14:textId="0A3D4344">
      <w:pPr>
        <w:pStyle w:val="Heading1"/>
      </w:pPr>
      <w:bookmarkStart w:name="_Toc79146599" w:id="19"/>
      <w:r>
        <w:t>RFP TIMELINE</w:t>
      </w:r>
      <w:bookmarkEnd w:id="19"/>
    </w:p>
    <w:p w:rsidR="354F9E2B" w:rsidP="0005500D" w:rsidRDefault="354F9E2B" w14:paraId="212C28F5" w14:textId="68369FE9">
      <w:pPr>
        <w:spacing w:before="100" w:beforeAutospacing="1" w:after="120" w:line="276" w:lineRule="auto"/>
        <w:jc w:val="center"/>
      </w:pPr>
      <w:r>
        <w:t>The timeline for the RFP is as follows:</w:t>
      </w:r>
    </w:p>
    <w:tbl>
      <w:tblPr>
        <w:tblStyle w:val="TableGrid"/>
        <w:tblW w:w="5000" w:type="pct"/>
        <w:tblLook w:val="06A0" w:firstRow="1" w:lastRow="0" w:firstColumn="1" w:lastColumn="0" w:noHBand="1" w:noVBand="1"/>
      </w:tblPr>
      <w:tblGrid>
        <w:gridCol w:w="4664"/>
        <w:gridCol w:w="5406"/>
      </w:tblGrid>
      <w:tr w:rsidR="0005500D" w:rsidTr="086F97F6" w14:paraId="33DDCB87" w14:textId="77777777">
        <w:tc>
          <w:tcPr>
            <w:tcW w:w="2316" w:type="pct"/>
            <w:tcMar/>
            <w:vAlign w:val="center"/>
          </w:tcPr>
          <w:p w:rsidR="35D3D04D" w:rsidP="0005500D" w:rsidRDefault="35D3D04D" w14:paraId="0593B258" w14:textId="2F15E7C7">
            <w:pPr>
              <w:spacing w:before="100" w:beforeAutospacing="1" w:after="120" w:line="276" w:lineRule="auto"/>
              <w:jc w:val="center"/>
            </w:pPr>
            <w:r>
              <w:t>Publication of RFP</w:t>
            </w:r>
          </w:p>
        </w:tc>
        <w:tc>
          <w:tcPr>
            <w:tcW w:w="2684" w:type="pct"/>
            <w:tcMar/>
            <w:vAlign w:val="center"/>
          </w:tcPr>
          <w:p w:rsidR="07366EEB" w:rsidP="086F97F6" w:rsidRDefault="00184EE6" w14:paraId="27EADE91" w14:textId="5224440E">
            <w:pPr>
              <w:spacing w:before="100" w:beforeAutospacing="on" w:after="120" w:line="276" w:lineRule="auto"/>
              <w:jc w:val="center"/>
            </w:pPr>
            <w:r w:rsidR="00184EE6">
              <w:rPr/>
              <w:t>November 1</w:t>
            </w:r>
            <w:r w:rsidR="076C0EC5">
              <w:rPr/>
              <w:t>7</w:t>
            </w:r>
            <w:r w:rsidR="00184EE6">
              <w:rPr/>
              <w:t>, 2021</w:t>
            </w:r>
          </w:p>
        </w:tc>
      </w:tr>
      <w:tr w:rsidR="0005500D" w:rsidTr="086F97F6" w14:paraId="39B24F5B" w14:textId="77777777">
        <w:tc>
          <w:tcPr>
            <w:tcW w:w="2316" w:type="pct"/>
            <w:tcMar/>
            <w:vAlign w:val="center"/>
          </w:tcPr>
          <w:p w:rsidR="35D3D04D" w:rsidP="0005500D" w:rsidRDefault="35D3D04D" w14:paraId="0345082C" w14:textId="34AEDAAD">
            <w:pPr>
              <w:spacing w:before="100" w:beforeAutospacing="1" w:after="120" w:line="276" w:lineRule="auto"/>
              <w:jc w:val="center"/>
            </w:pPr>
            <w:r>
              <w:t>Intent to bid and questions on RFP due</w:t>
            </w:r>
          </w:p>
        </w:tc>
        <w:tc>
          <w:tcPr>
            <w:tcW w:w="2684" w:type="pct"/>
            <w:tcMar/>
            <w:vAlign w:val="center"/>
          </w:tcPr>
          <w:p w:rsidR="07366EEB" w:rsidP="0005500D" w:rsidRDefault="00D4181A" w14:paraId="471A02DD" w14:textId="5013CBC2">
            <w:pPr>
              <w:spacing w:before="100" w:beforeAutospacing="1" w:after="120" w:line="276" w:lineRule="auto"/>
              <w:jc w:val="center"/>
            </w:pPr>
            <w:r>
              <w:t xml:space="preserve">December </w:t>
            </w:r>
            <w:r w:rsidR="00184EE6">
              <w:t>3</w:t>
            </w:r>
            <w:r w:rsidR="061C50C2">
              <w:t xml:space="preserve">, </w:t>
            </w:r>
            <w:r w:rsidR="0005500D">
              <w:t>2021,</w:t>
            </w:r>
            <w:r w:rsidR="061C50C2">
              <w:t xml:space="preserve"> by 4:00</w:t>
            </w:r>
          </w:p>
        </w:tc>
      </w:tr>
      <w:tr w:rsidR="0005500D" w:rsidTr="086F97F6" w14:paraId="6D34ED89" w14:textId="77777777">
        <w:tc>
          <w:tcPr>
            <w:tcW w:w="2316" w:type="pct"/>
            <w:tcMar/>
            <w:vAlign w:val="center"/>
          </w:tcPr>
          <w:p w:rsidR="35D3D04D" w:rsidP="0005500D" w:rsidRDefault="35D3D04D" w14:paraId="669DE22C" w14:textId="63297641">
            <w:pPr>
              <w:spacing w:before="100" w:beforeAutospacing="1" w:after="120" w:line="276" w:lineRule="auto"/>
              <w:jc w:val="center"/>
            </w:pPr>
            <w:r>
              <w:t>Answers to questions provided</w:t>
            </w:r>
          </w:p>
        </w:tc>
        <w:tc>
          <w:tcPr>
            <w:tcW w:w="2684" w:type="pct"/>
            <w:tcMar/>
            <w:vAlign w:val="center"/>
          </w:tcPr>
          <w:p w:rsidR="07366EEB" w:rsidP="0005500D" w:rsidRDefault="5925C8B4" w14:paraId="7C32515B" w14:textId="197A1AF4">
            <w:pPr>
              <w:spacing w:before="100" w:beforeAutospacing="1" w:after="120" w:line="276" w:lineRule="auto"/>
              <w:jc w:val="center"/>
            </w:pPr>
            <w:r>
              <w:t xml:space="preserve">December </w:t>
            </w:r>
            <w:r w:rsidR="00D800BF">
              <w:t>13</w:t>
            </w:r>
            <w:r w:rsidR="4FF1F017">
              <w:t>, 2021</w:t>
            </w:r>
          </w:p>
        </w:tc>
      </w:tr>
      <w:tr w:rsidR="0005500D" w:rsidTr="086F97F6" w14:paraId="33A07A05" w14:textId="77777777">
        <w:tc>
          <w:tcPr>
            <w:tcW w:w="2316" w:type="pct"/>
            <w:tcMar/>
            <w:vAlign w:val="center"/>
          </w:tcPr>
          <w:p w:rsidR="35D3D04D" w:rsidP="0005500D" w:rsidRDefault="35D3D04D" w14:paraId="6E56507D" w14:textId="50363DF2">
            <w:pPr>
              <w:spacing w:before="100" w:beforeAutospacing="1" w:after="120" w:line="276" w:lineRule="auto"/>
              <w:jc w:val="center"/>
            </w:pPr>
            <w:r>
              <w:t>Proposals due</w:t>
            </w:r>
          </w:p>
        </w:tc>
        <w:tc>
          <w:tcPr>
            <w:tcW w:w="2684" w:type="pct"/>
            <w:tcMar/>
            <w:vAlign w:val="center"/>
          </w:tcPr>
          <w:p w:rsidR="07366EEB" w:rsidP="0005500D" w:rsidRDefault="38783B4D" w14:paraId="4889B8C9" w14:textId="56AD0D53">
            <w:pPr>
              <w:spacing w:before="100" w:beforeAutospacing="1" w:after="120" w:line="276" w:lineRule="auto"/>
              <w:jc w:val="center"/>
            </w:pPr>
            <w:r>
              <w:t xml:space="preserve">January 5, </w:t>
            </w:r>
            <w:r w:rsidR="0005500D">
              <w:t>202</w:t>
            </w:r>
            <w:r w:rsidR="00064E87">
              <w:t>2</w:t>
            </w:r>
            <w:r w:rsidR="0005500D">
              <w:t>,</w:t>
            </w:r>
            <w:r w:rsidR="1274D10F">
              <w:t xml:space="preserve"> by 4:00 p.m.</w:t>
            </w:r>
          </w:p>
        </w:tc>
      </w:tr>
      <w:tr w:rsidR="0005500D" w:rsidTr="086F97F6" w14:paraId="06A9B8A0" w14:textId="77777777">
        <w:tc>
          <w:tcPr>
            <w:tcW w:w="2316" w:type="pct"/>
            <w:tcMar/>
            <w:vAlign w:val="center"/>
          </w:tcPr>
          <w:p w:rsidR="35D3D04D" w:rsidP="0005500D" w:rsidRDefault="35D3D04D" w14:paraId="2F4C8062" w14:textId="6FA5CA2F">
            <w:pPr>
              <w:spacing w:before="100" w:beforeAutospacing="1" w:after="120" w:line="276" w:lineRule="auto"/>
              <w:jc w:val="center"/>
            </w:pPr>
            <w:r>
              <w:t>Interviews conducted</w:t>
            </w:r>
          </w:p>
        </w:tc>
        <w:tc>
          <w:tcPr>
            <w:tcW w:w="2684" w:type="pct"/>
            <w:tcMar/>
            <w:vAlign w:val="center"/>
          </w:tcPr>
          <w:p w:rsidR="07366EEB" w:rsidP="0005500D" w:rsidRDefault="03FF0B43" w14:paraId="5F150446" w14:textId="111D680A">
            <w:pPr>
              <w:spacing w:beforeAutospacing="1" w:after="120" w:line="276" w:lineRule="auto"/>
              <w:jc w:val="center"/>
            </w:pPr>
            <w:r>
              <w:t>January/February 2022</w:t>
            </w:r>
          </w:p>
        </w:tc>
      </w:tr>
      <w:tr w:rsidR="0005500D" w:rsidTr="086F97F6" w14:paraId="49B09C34" w14:textId="77777777">
        <w:tc>
          <w:tcPr>
            <w:tcW w:w="2316" w:type="pct"/>
            <w:tcMar/>
            <w:vAlign w:val="center"/>
          </w:tcPr>
          <w:p w:rsidR="35D3D04D" w:rsidP="0005500D" w:rsidRDefault="35D3D04D" w14:paraId="44F9B963" w14:textId="26F28861">
            <w:pPr>
              <w:spacing w:before="100" w:beforeAutospacing="1" w:after="120" w:line="276" w:lineRule="auto"/>
              <w:jc w:val="center"/>
            </w:pPr>
            <w:r>
              <w:t>Selection decision</w:t>
            </w:r>
          </w:p>
        </w:tc>
        <w:tc>
          <w:tcPr>
            <w:tcW w:w="2684" w:type="pct"/>
            <w:tcMar/>
            <w:vAlign w:val="center"/>
          </w:tcPr>
          <w:p w:rsidR="07366EEB" w:rsidP="0005500D" w:rsidRDefault="56BC37AB" w14:paraId="0AF4178B" w14:textId="3D873A08">
            <w:pPr>
              <w:spacing w:before="100" w:beforeAutospacing="1" w:after="120" w:line="276" w:lineRule="auto"/>
              <w:jc w:val="center"/>
            </w:pPr>
            <w:r>
              <w:t>February 2022</w:t>
            </w:r>
          </w:p>
        </w:tc>
      </w:tr>
    </w:tbl>
    <w:p w:rsidR="00780CDB" w:rsidP="0005500D" w:rsidRDefault="00780CDB" w14:paraId="4B00FEAA" w14:textId="0F7521EF">
      <w:pPr>
        <w:spacing w:before="100" w:beforeAutospacing="1" w:after="120" w:line="276" w:lineRule="auto"/>
        <w:jc w:val="center"/>
      </w:pPr>
      <w:r>
        <w:t xml:space="preserve">All questions or correspondence regarding this RFP should be sent in writing to Emily Rice, EEB Executive Secretary, at </w:t>
      </w:r>
      <w:hyperlink w:history="1" r:id="rId18">
        <w:r w:rsidRPr="07366EEB">
          <w:rPr>
            <w:rStyle w:val="Hyperlink"/>
          </w:rPr>
          <w:t>ExecutiveSecretaryCTEEB@theenergygroup.biz</w:t>
        </w:r>
      </w:hyperlink>
      <w:r>
        <w:t>.</w:t>
      </w:r>
    </w:p>
    <w:p w:rsidR="35D3D04D" w:rsidP="00C106FE" w:rsidRDefault="35D3D04D" w14:paraId="4226FD18" w14:textId="2CD037FF">
      <w:pPr>
        <w:spacing w:before="100" w:beforeAutospacing="1" w:after="120" w:line="276" w:lineRule="auto"/>
      </w:pPr>
      <w:r>
        <w:t xml:space="preserve">The intent to bid and questions on the RFP shall be submitted in writing via email to the EEB Executive Secretary. All questions and answers will be provided to all respondents who indicated an intent to bid (answers shall be developed by the EEB Consultant Committee) and posted on the RFP page of the EEB website. All proposals should be submitted </w:t>
      </w:r>
      <w:r w:rsidR="00B378E0">
        <w:t>to</w:t>
      </w:r>
      <w:r>
        <w:t xml:space="preserve"> </w:t>
      </w:r>
      <w:r w:rsidR="00B378E0">
        <w:t>the</w:t>
      </w:r>
      <w:r>
        <w:t xml:space="preserve"> Ex</w:t>
      </w:r>
      <w:r w:rsidR="2A7DD073">
        <w:t xml:space="preserve">ecutive Secretary via email. </w:t>
      </w:r>
    </w:p>
    <w:p w:rsidR="43624E42" w:rsidP="086F97F6" w:rsidRDefault="2A7DD073" w14:paraId="5F553D74" w14:textId="3EFA2185">
      <w:pPr>
        <w:spacing w:before="100" w:beforeAutospacing="on" w:after="120" w:line="276" w:lineRule="auto"/>
      </w:pPr>
      <w:r w:rsidR="2A7DD073">
        <w:rPr/>
        <w:t>Respondents who do not submit an intent to bid by</w:t>
      </w:r>
      <w:r w:rsidR="6DA6397C">
        <w:rPr/>
        <w:t xml:space="preserve"> </w:t>
      </w:r>
      <w:r w:rsidR="00D800BF">
        <w:rPr/>
        <w:t xml:space="preserve">December </w:t>
      </w:r>
      <w:r w:rsidR="14DD77E8">
        <w:rPr/>
        <w:t>3</w:t>
      </w:r>
      <w:r w:rsidR="00064E87">
        <w:rPr/>
        <w:t>,</w:t>
      </w:r>
      <w:r w:rsidR="6DA6397C">
        <w:rPr/>
        <w:t xml:space="preserve"> </w:t>
      </w:r>
      <w:r w:rsidR="00954296">
        <w:rPr/>
        <w:t>2021</w:t>
      </w:r>
      <w:r w:rsidR="2A7DD073">
        <w:rPr/>
        <w:t xml:space="preserve"> can stil</w:t>
      </w:r>
      <w:r w:rsidR="00780CDB">
        <w:rPr/>
        <w:t>l</w:t>
      </w:r>
      <w:r w:rsidR="2A7DD073">
        <w:rPr/>
        <w:t xml:space="preserve"> submit proposals, but they will not be able to submit any questions on the RFP after </w:t>
      </w:r>
      <w:r w:rsidR="00D800BF">
        <w:rPr/>
        <w:t xml:space="preserve">December </w:t>
      </w:r>
      <w:r w:rsidR="3139F5AA">
        <w:rPr/>
        <w:t>3</w:t>
      </w:r>
      <w:r w:rsidR="1903CCBA">
        <w:rPr/>
        <w:t>, 2021</w:t>
      </w:r>
      <w:r w:rsidR="2A7DD073">
        <w:rPr/>
        <w:t xml:space="preserve">. </w:t>
      </w:r>
    </w:p>
    <w:sectPr w:rsidR="43624E42" w:rsidSect="00F7037D">
      <w:pgSz w:w="12240" w:h="15840" w:orient="portrait"/>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5557" w:rsidP="00B1433C" w:rsidRDefault="00FD5557" w14:paraId="28C77E04" w14:textId="77777777">
      <w:pPr>
        <w:spacing w:after="0" w:line="240" w:lineRule="auto"/>
      </w:pPr>
      <w:r>
        <w:separator/>
      </w:r>
    </w:p>
  </w:endnote>
  <w:endnote w:type="continuationSeparator" w:id="0">
    <w:p w:rsidR="00FD5557" w:rsidP="00B1433C" w:rsidRDefault="00FD5557" w14:paraId="3C0E0B6B" w14:textId="77777777">
      <w:pPr>
        <w:spacing w:after="0" w:line="240" w:lineRule="auto"/>
      </w:pPr>
      <w:r>
        <w:continuationSeparator/>
      </w:r>
    </w:p>
  </w:endnote>
  <w:endnote w:type="continuationNotice" w:id="1">
    <w:p w:rsidR="00FD5557" w:rsidRDefault="00FD5557" w14:paraId="7999C6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5557" w:rsidP="00B1433C" w:rsidRDefault="00FD5557" w14:paraId="204B18A6" w14:textId="77777777">
      <w:pPr>
        <w:spacing w:after="0" w:line="240" w:lineRule="auto"/>
      </w:pPr>
      <w:r>
        <w:separator/>
      </w:r>
    </w:p>
  </w:footnote>
  <w:footnote w:type="continuationSeparator" w:id="0">
    <w:p w:rsidR="00FD5557" w:rsidP="00B1433C" w:rsidRDefault="00FD5557" w14:paraId="42B80224" w14:textId="77777777">
      <w:pPr>
        <w:spacing w:after="0" w:line="240" w:lineRule="auto"/>
      </w:pPr>
      <w:r>
        <w:continuationSeparator/>
      </w:r>
    </w:p>
  </w:footnote>
  <w:footnote w:type="continuationNotice" w:id="1">
    <w:p w:rsidR="00FD5557" w:rsidRDefault="00FD5557" w14:paraId="6281C3D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492"/>
    <w:multiLevelType w:val="hybridMultilevel"/>
    <w:tmpl w:val="390E420E"/>
    <w:lvl w:ilvl="0" w:tplc="7EA637C2">
      <w:start w:val="1"/>
      <w:numFmt w:val="bullet"/>
      <w:lvlText w:val=""/>
      <w:lvlJc w:val="left"/>
      <w:pPr>
        <w:ind w:left="720" w:hanging="360"/>
      </w:pPr>
      <w:rPr>
        <w:rFonts w:hint="default" w:ascii="Symbol" w:hAnsi="Symbol"/>
      </w:rPr>
    </w:lvl>
    <w:lvl w:ilvl="1" w:tplc="61102B48">
      <w:start w:val="1"/>
      <w:numFmt w:val="bullet"/>
      <w:lvlText w:val="o"/>
      <w:lvlJc w:val="left"/>
      <w:pPr>
        <w:ind w:left="1440" w:hanging="360"/>
      </w:pPr>
      <w:rPr>
        <w:rFonts w:hint="default" w:ascii="Courier New" w:hAnsi="Courier New"/>
      </w:rPr>
    </w:lvl>
    <w:lvl w:ilvl="2" w:tplc="C3F8A02A">
      <w:start w:val="1"/>
      <w:numFmt w:val="bullet"/>
      <w:lvlText w:val=""/>
      <w:lvlJc w:val="left"/>
      <w:pPr>
        <w:ind w:left="2160" w:hanging="360"/>
      </w:pPr>
      <w:rPr>
        <w:rFonts w:hint="default" w:ascii="Wingdings" w:hAnsi="Wingdings"/>
      </w:rPr>
    </w:lvl>
    <w:lvl w:ilvl="3" w:tplc="FB7442FC">
      <w:start w:val="1"/>
      <w:numFmt w:val="bullet"/>
      <w:lvlText w:val=""/>
      <w:lvlJc w:val="left"/>
      <w:pPr>
        <w:ind w:left="2880" w:hanging="360"/>
      </w:pPr>
      <w:rPr>
        <w:rFonts w:hint="default" w:ascii="Symbol" w:hAnsi="Symbol"/>
      </w:rPr>
    </w:lvl>
    <w:lvl w:ilvl="4" w:tplc="2F32EC60">
      <w:start w:val="1"/>
      <w:numFmt w:val="bullet"/>
      <w:lvlText w:val="o"/>
      <w:lvlJc w:val="left"/>
      <w:pPr>
        <w:ind w:left="3600" w:hanging="360"/>
      </w:pPr>
      <w:rPr>
        <w:rFonts w:hint="default" w:ascii="Courier New" w:hAnsi="Courier New"/>
      </w:rPr>
    </w:lvl>
    <w:lvl w:ilvl="5" w:tplc="A10E0974">
      <w:start w:val="1"/>
      <w:numFmt w:val="bullet"/>
      <w:lvlText w:val=""/>
      <w:lvlJc w:val="left"/>
      <w:pPr>
        <w:ind w:left="4320" w:hanging="360"/>
      </w:pPr>
      <w:rPr>
        <w:rFonts w:hint="default" w:ascii="Wingdings" w:hAnsi="Wingdings"/>
      </w:rPr>
    </w:lvl>
    <w:lvl w:ilvl="6" w:tplc="2962FC28">
      <w:start w:val="1"/>
      <w:numFmt w:val="bullet"/>
      <w:lvlText w:val=""/>
      <w:lvlJc w:val="left"/>
      <w:pPr>
        <w:ind w:left="5040" w:hanging="360"/>
      </w:pPr>
      <w:rPr>
        <w:rFonts w:hint="default" w:ascii="Symbol" w:hAnsi="Symbol"/>
      </w:rPr>
    </w:lvl>
    <w:lvl w:ilvl="7" w:tplc="3974A134">
      <w:start w:val="1"/>
      <w:numFmt w:val="bullet"/>
      <w:lvlText w:val="o"/>
      <w:lvlJc w:val="left"/>
      <w:pPr>
        <w:ind w:left="5760" w:hanging="360"/>
      </w:pPr>
      <w:rPr>
        <w:rFonts w:hint="default" w:ascii="Courier New" w:hAnsi="Courier New"/>
      </w:rPr>
    </w:lvl>
    <w:lvl w:ilvl="8" w:tplc="F7504378">
      <w:start w:val="1"/>
      <w:numFmt w:val="bullet"/>
      <w:lvlText w:val=""/>
      <w:lvlJc w:val="left"/>
      <w:pPr>
        <w:ind w:left="6480" w:hanging="360"/>
      </w:pPr>
      <w:rPr>
        <w:rFonts w:hint="default" w:ascii="Wingdings" w:hAnsi="Wingdings"/>
      </w:rPr>
    </w:lvl>
  </w:abstractNum>
  <w:abstractNum w:abstractNumId="1" w15:restartNumberingAfterBreak="0">
    <w:nsid w:val="09E42C08"/>
    <w:multiLevelType w:val="hybridMultilevel"/>
    <w:tmpl w:val="D9F059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DC706E"/>
    <w:multiLevelType w:val="hybridMultilevel"/>
    <w:tmpl w:val="ED568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7F0335"/>
    <w:multiLevelType w:val="hybridMultilevel"/>
    <w:tmpl w:val="8618DC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21B91"/>
    <w:multiLevelType w:val="hybridMultilevel"/>
    <w:tmpl w:val="4DF62B2C"/>
    <w:lvl w:ilvl="0" w:tplc="0BB0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B426A"/>
    <w:multiLevelType w:val="hybridMultilevel"/>
    <w:tmpl w:val="5F9AF9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34837C4"/>
    <w:multiLevelType w:val="hybridMultilevel"/>
    <w:tmpl w:val="1D3832CC"/>
    <w:lvl w:ilvl="0" w:tplc="48787482">
      <w:start w:val="1"/>
      <w:numFmt w:val="bullet"/>
      <w:lvlText w:val=""/>
      <w:lvlJc w:val="left"/>
      <w:pPr>
        <w:tabs>
          <w:tab w:val="num" w:pos="720"/>
        </w:tabs>
        <w:ind w:left="720" w:hanging="360"/>
      </w:pPr>
      <w:rPr>
        <w:rFonts w:hint="default" w:ascii="Symbol" w:hAnsi="Symbol"/>
        <w:sz w:val="20"/>
      </w:rPr>
    </w:lvl>
    <w:lvl w:ilvl="1" w:tplc="36E8B920" w:tentative="1">
      <w:start w:val="1"/>
      <w:numFmt w:val="bullet"/>
      <w:lvlText w:val="o"/>
      <w:lvlJc w:val="left"/>
      <w:pPr>
        <w:tabs>
          <w:tab w:val="num" w:pos="1440"/>
        </w:tabs>
        <w:ind w:left="1440" w:hanging="360"/>
      </w:pPr>
      <w:rPr>
        <w:rFonts w:hint="default" w:ascii="Courier New" w:hAnsi="Courier New"/>
        <w:sz w:val="20"/>
      </w:rPr>
    </w:lvl>
    <w:lvl w:ilvl="2" w:tplc="7F345A8A" w:tentative="1">
      <w:start w:val="1"/>
      <w:numFmt w:val="bullet"/>
      <w:lvlText w:val=""/>
      <w:lvlJc w:val="left"/>
      <w:pPr>
        <w:tabs>
          <w:tab w:val="num" w:pos="2160"/>
        </w:tabs>
        <w:ind w:left="2160" w:hanging="360"/>
      </w:pPr>
      <w:rPr>
        <w:rFonts w:hint="default" w:ascii="Wingdings" w:hAnsi="Wingdings"/>
        <w:sz w:val="20"/>
      </w:rPr>
    </w:lvl>
    <w:lvl w:ilvl="3" w:tplc="D5B0634A" w:tentative="1">
      <w:start w:val="1"/>
      <w:numFmt w:val="bullet"/>
      <w:lvlText w:val=""/>
      <w:lvlJc w:val="left"/>
      <w:pPr>
        <w:tabs>
          <w:tab w:val="num" w:pos="2880"/>
        </w:tabs>
        <w:ind w:left="2880" w:hanging="360"/>
      </w:pPr>
      <w:rPr>
        <w:rFonts w:hint="default" w:ascii="Wingdings" w:hAnsi="Wingdings"/>
        <w:sz w:val="20"/>
      </w:rPr>
    </w:lvl>
    <w:lvl w:ilvl="4" w:tplc="888CC37C" w:tentative="1">
      <w:start w:val="1"/>
      <w:numFmt w:val="bullet"/>
      <w:lvlText w:val=""/>
      <w:lvlJc w:val="left"/>
      <w:pPr>
        <w:tabs>
          <w:tab w:val="num" w:pos="3600"/>
        </w:tabs>
        <w:ind w:left="3600" w:hanging="360"/>
      </w:pPr>
      <w:rPr>
        <w:rFonts w:hint="default" w:ascii="Wingdings" w:hAnsi="Wingdings"/>
        <w:sz w:val="20"/>
      </w:rPr>
    </w:lvl>
    <w:lvl w:ilvl="5" w:tplc="0784A50E" w:tentative="1">
      <w:start w:val="1"/>
      <w:numFmt w:val="bullet"/>
      <w:lvlText w:val=""/>
      <w:lvlJc w:val="left"/>
      <w:pPr>
        <w:tabs>
          <w:tab w:val="num" w:pos="4320"/>
        </w:tabs>
        <w:ind w:left="4320" w:hanging="360"/>
      </w:pPr>
      <w:rPr>
        <w:rFonts w:hint="default" w:ascii="Wingdings" w:hAnsi="Wingdings"/>
        <w:sz w:val="20"/>
      </w:rPr>
    </w:lvl>
    <w:lvl w:ilvl="6" w:tplc="889436AA" w:tentative="1">
      <w:start w:val="1"/>
      <w:numFmt w:val="bullet"/>
      <w:lvlText w:val=""/>
      <w:lvlJc w:val="left"/>
      <w:pPr>
        <w:tabs>
          <w:tab w:val="num" w:pos="5040"/>
        </w:tabs>
        <w:ind w:left="5040" w:hanging="360"/>
      </w:pPr>
      <w:rPr>
        <w:rFonts w:hint="default" w:ascii="Wingdings" w:hAnsi="Wingdings"/>
        <w:sz w:val="20"/>
      </w:rPr>
    </w:lvl>
    <w:lvl w:ilvl="7" w:tplc="7EC8570E" w:tentative="1">
      <w:start w:val="1"/>
      <w:numFmt w:val="bullet"/>
      <w:lvlText w:val=""/>
      <w:lvlJc w:val="left"/>
      <w:pPr>
        <w:tabs>
          <w:tab w:val="num" w:pos="5760"/>
        </w:tabs>
        <w:ind w:left="5760" w:hanging="360"/>
      </w:pPr>
      <w:rPr>
        <w:rFonts w:hint="default" w:ascii="Wingdings" w:hAnsi="Wingdings"/>
        <w:sz w:val="20"/>
      </w:rPr>
    </w:lvl>
    <w:lvl w:ilvl="8" w:tplc="0E2AA71E"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4120501"/>
    <w:multiLevelType w:val="hybridMultilevel"/>
    <w:tmpl w:val="73B0A7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4157A84"/>
    <w:multiLevelType w:val="hybridMultilevel"/>
    <w:tmpl w:val="E66C75A0"/>
    <w:lvl w:ilvl="0" w:tplc="0409000F">
      <w:start w:val="1"/>
      <w:numFmt w:val="decimal"/>
      <w:lvlText w:val="%1."/>
      <w:lvlJc w:val="left"/>
      <w:pPr>
        <w:ind w:left="108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A151598"/>
    <w:multiLevelType w:val="hybridMultilevel"/>
    <w:tmpl w:val="4ECC421E"/>
    <w:lvl w:ilvl="0" w:tplc="F4502194">
      <w:start w:val="1"/>
      <w:numFmt w:val="bullet"/>
      <w:lvlText w:val=""/>
      <w:lvlJc w:val="left"/>
      <w:pPr>
        <w:tabs>
          <w:tab w:val="num" w:pos="720"/>
        </w:tabs>
        <w:ind w:left="720" w:hanging="360"/>
      </w:pPr>
      <w:rPr>
        <w:rFonts w:hint="default" w:ascii="Symbol" w:hAnsi="Symbol"/>
        <w:sz w:val="20"/>
      </w:rPr>
    </w:lvl>
    <w:lvl w:ilvl="1" w:tplc="6C464F82" w:tentative="1">
      <w:start w:val="1"/>
      <w:numFmt w:val="bullet"/>
      <w:lvlText w:val="o"/>
      <w:lvlJc w:val="left"/>
      <w:pPr>
        <w:tabs>
          <w:tab w:val="num" w:pos="1440"/>
        </w:tabs>
        <w:ind w:left="1440" w:hanging="360"/>
      </w:pPr>
      <w:rPr>
        <w:rFonts w:hint="default" w:ascii="Courier New" w:hAnsi="Courier New"/>
        <w:sz w:val="20"/>
      </w:rPr>
    </w:lvl>
    <w:lvl w:ilvl="2" w:tplc="B11627FA" w:tentative="1">
      <w:start w:val="1"/>
      <w:numFmt w:val="bullet"/>
      <w:lvlText w:val=""/>
      <w:lvlJc w:val="left"/>
      <w:pPr>
        <w:tabs>
          <w:tab w:val="num" w:pos="2160"/>
        </w:tabs>
        <w:ind w:left="2160" w:hanging="360"/>
      </w:pPr>
      <w:rPr>
        <w:rFonts w:hint="default" w:ascii="Wingdings" w:hAnsi="Wingdings"/>
        <w:sz w:val="20"/>
      </w:rPr>
    </w:lvl>
    <w:lvl w:ilvl="3" w:tplc="218655DA" w:tentative="1">
      <w:start w:val="1"/>
      <w:numFmt w:val="bullet"/>
      <w:lvlText w:val=""/>
      <w:lvlJc w:val="left"/>
      <w:pPr>
        <w:tabs>
          <w:tab w:val="num" w:pos="2880"/>
        </w:tabs>
        <w:ind w:left="2880" w:hanging="360"/>
      </w:pPr>
      <w:rPr>
        <w:rFonts w:hint="default" w:ascii="Wingdings" w:hAnsi="Wingdings"/>
        <w:sz w:val="20"/>
      </w:rPr>
    </w:lvl>
    <w:lvl w:ilvl="4" w:tplc="F790FA2A" w:tentative="1">
      <w:start w:val="1"/>
      <w:numFmt w:val="bullet"/>
      <w:lvlText w:val=""/>
      <w:lvlJc w:val="left"/>
      <w:pPr>
        <w:tabs>
          <w:tab w:val="num" w:pos="3600"/>
        </w:tabs>
        <w:ind w:left="3600" w:hanging="360"/>
      </w:pPr>
      <w:rPr>
        <w:rFonts w:hint="default" w:ascii="Wingdings" w:hAnsi="Wingdings"/>
        <w:sz w:val="20"/>
      </w:rPr>
    </w:lvl>
    <w:lvl w:ilvl="5" w:tplc="E5243A38" w:tentative="1">
      <w:start w:val="1"/>
      <w:numFmt w:val="bullet"/>
      <w:lvlText w:val=""/>
      <w:lvlJc w:val="left"/>
      <w:pPr>
        <w:tabs>
          <w:tab w:val="num" w:pos="4320"/>
        </w:tabs>
        <w:ind w:left="4320" w:hanging="360"/>
      </w:pPr>
      <w:rPr>
        <w:rFonts w:hint="default" w:ascii="Wingdings" w:hAnsi="Wingdings"/>
        <w:sz w:val="20"/>
      </w:rPr>
    </w:lvl>
    <w:lvl w:ilvl="6" w:tplc="D7CC2F74" w:tentative="1">
      <w:start w:val="1"/>
      <w:numFmt w:val="bullet"/>
      <w:lvlText w:val=""/>
      <w:lvlJc w:val="left"/>
      <w:pPr>
        <w:tabs>
          <w:tab w:val="num" w:pos="5040"/>
        </w:tabs>
        <w:ind w:left="5040" w:hanging="360"/>
      </w:pPr>
      <w:rPr>
        <w:rFonts w:hint="default" w:ascii="Wingdings" w:hAnsi="Wingdings"/>
        <w:sz w:val="20"/>
      </w:rPr>
    </w:lvl>
    <w:lvl w:ilvl="7" w:tplc="EC6C83D2" w:tentative="1">
      <w:start w:val="1"/>
      <w:numFmt w:val="bullet"/>
      <w:lvlText w:val=""/>
      <w:lvlJc w:val="left"/>
      <w:pPr>
        <w:tabs>
          <w:tab w:val="num" w:pos="5760"/>
        </w:tabs>
        <w:ind w:left="5760" w:hanging="360"/>
      </w:pPr>
      <w:rPr>
        <w:rFonts w:hint="default" w:ascii="Wingdings" w:hAnsi="Wingdings"/>
        <w:sz w:val="20"/>
      </w:rPr>
    </w:lvl>
    <w:lvl w:ilvl="8" w:tplc="B234EF8A"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0196686"/>
    <w:multiLevelType w:val="hybridMultilevel"/>
    <w:tmpl w:val="D4C424EA"/>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738F8"/>
    <w:multiLevelType w:val="hybridMultilevel"/>
    <w:tmpl w:val="868621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80B2FBE"/>
    <w:multiLevelType w:val="hybridMultilevel"/>
    <w:tmpl w:val="965A96E2"/>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51B13E8D"/>
    <w:multiLevelType w:val="hybridMultilevel"/>
    <w:tmpl w:val="C8DAE80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9A8504B"/>
    <w:multiLevelType w:val="multilevel"/>
    <w:tmpl w:val="1EB8E3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EEF544A"/>
    <w:multiLevelType w:val="hybridMultilevel"/>
    <w:tmpl w:val="B7085AE2"/>
    <w:lvl w:ilvl="0" w:tplc="00B8E016">
      <w:start w:val="1"/>
      <w:numFmt w:val="bullet"/>
      <w:lvlText w:val=""/>
      <w:lvlJc w:val="left"/>
      <w:pPr>
        <w:ind w:left="720" w:hanging="360"/>
      </w:pPr>
      <w:rPr>
        <w:rFonts w:hint="default" w:ascii="Symbol" w:hAnsi="Symbol"/>
      </w:rPr>
    </w:lvl>
    <w:lvl w:ilvl="1" w:tplc="694AA5A4">
      <w:start w:val="1"/>
      <w:numFmt w:val="bullet"/>
      <w:lvlText w:val="o"/>
      <w:lvlJc w:val="left"/>
      <w:pPr>
        <w:ind w:left="1440" w:hanging="360"/>
      </w:pPr>
      <w:rPr>
        <w:rFonts w:hint="default" w:ascii="Courier New" w:hAnsi="Courier New"/>
      </w:rPr>
    </w:lvl>
    <w:lvl w:ilvl="2" w:tplc="1D1C0D78">
      <w:start w:val="1"/>
      <w:numFmt w:val="bullet"/>
      <w:lvlText w:val=""/>
      <w:lvlJc w:val="left"/>
      <w:pPr>
        <w:ind w:left="2160" w:hanging="360"/>
      </w:pPr>
      <w:rPr>
        <w:rFonts w:hint="default" w:ascii="Wingdings" w:hAnsi="Wingdings"/>
      </w:rPr>
    </w:lvl>
    <w:lvl w:ilvl="3" w:tplc="3A5E9436">
      <w:start w:val="1"/>
      <w:numFmt w:val="bullet"/>
      <w:lvlText w:val=""/>
      <w:lvlJc w:val="left"/>
      <w:pPr>
        <w:ind w:left="2880" w:hanging="360"/>
      </w:pPr>
      <w:rPr>
        <w:rFonts w:hint="default" w:ascii="Symbol" w:hAnsi="Symbol"/>
      </w:rPr>
    </w:lvl>
    <w:lvl w:ilvl="4" w:tplc="7744D20A">
      <w:start w:val="1"/>
      <w:numFmt w:val="bullet"/>
      <w:lvlText w:val="o"/>
      <w:lvlJc w:val="left"/>
      <w:pPr>
        <w:ind w:left="3600" w:hanging="360"/>
      </w:pPr>
      <w:rPr>
        <w:rFonts w:hint="default" w:ascii="Courier New" w:hAnsi="Courier New"/>
      </w:rPr>
    </w:lvl>
    <w:lvl w:ilvl="5" w:tplc="6C547216">
      <w:start w:val="1"/>
      <w:numFmt w:val="bullet"/>
      <w:lvlText w:val=""/>
      <w:lvlJc w:val="left"/>
      <w:pPr>
        <w:ind w:left="4320" w:hanging="360"/>
      </w:pPr>
      <w:rPr>
        <w:rFonts w:hint="default" w:ascii="Wingdings" w:hAnsi="Wingdings"/>
      </w:rPr>
    </w:lvl>
    <w:lvl w:ilvl="6" w:tplc="3B221586">
      <w:start w:val="1"/>
      <w:numFmt w:val="bullet"/>
      <w:lvlText w:val=""/>
      <w:lvlJc w:val="left"/>
      <w:pPr>
        <w:ind w:left="5040" w:hanging="360"/>
      </w:pPr>
      <w:rPr>
        <w:rFonts w:hint="default" w:ascii="Symbol" w:hAnsi="Symbol"/>
      </w:rPr>
    </w:lvl>
    <w:lvl w:ilvl="7" w:tplc="1ABCF3F4">
      <w:start w:val="1"/>
      <w:numFmt w:val="bullet"/>
      <w:lvlText w:val="o"/>
      <w:lvlJc w:val="left"/>
      <w:pPr>
        <w:ind w:left="5760" w:hanging="360"/>
      </w:pPr>
      <w:rPr>
        <w:rFonts w:hint="default" w:ascii="Courier New" w:hAnsi="Courier New"/>
      </w:rPr>
    </w:lvl>
    <w:lvl w:ilvl="8" w:tplc="712C1AD6">
      <w:start w:val="1"/>
      <w:numFmt w:val="bullet"/>
      <w:lvlText w:val=""/>
      <w:lvlJc w:val="left"/>
      <w:pPr>
        <w:ind w:left="6480" w:hanging="360"/>
      </w:pPr>
      <w:rPr>
        <w:rFonts w:hint="default" w:ascii="Wingdings" w:hAnsi="Wingdings"/>
      </w:rPr>
    </w:lvl>
  </w:abstractNum>
  <w:abstractNum w:abstractNumId="16" w15:restartNumberingAfterBreak="0">
    <w:nsid w:val="622902AD"/>
    <w:multiLevelType w:val="hybridMultilevel"/>
    <w:tmpl w:val="A7FE5AD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63F73A47"/>
    <w:multiLevelType w:val="multilevel"/>
    <w:tmpl w:val="FACC2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D286339"/>
    <w:multiLevelType w:val="hybridMultilevel"/>
    <w:tmpl w:val="7FEAB1E4"/>
    <w:lvl w:ilvl="0" w:tplc="04090001">
      <w:start w:val="1"/>
      <w:numFmt w:val="bullet"/>
      <w:lvlText w:val=""/>
      <w:lvlJc w:val="left"/>
      <w:pPr>
        <w:ind w:left="360" w:hanging="360"/>
      </w:pPr>
      <w:rPr>
        <w:rFonts w:hint="default" w:ascii="Symbol" w:hAnsi="Symbol"/>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76462FDA"/>
    <w:multiLevelType w:val="hybridMultilevel"/>
    <w:tmpl w:val="FC82A73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20" w15:restartNumberingAfterBreak="0">
    <w:nsid w:val="7A515947"/>
    <w:multiLevelType w:val="hybridMultilevel"/>
    <w:tmpl w:val="6D12DB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D4770A4"/>
    <w:multiLevelType w:val="hybridMultilevel"/>
    <w:tmpl w:val="FFFFFFFF"/>
    <w:lvl w:ilvl="0" w:tplc="1E4EEBA0">
      <w:start w:val="1"/>
      <w:numFmt w:val="bullet"/>
      <w:lvlText w:val=""/>
      <w:lvlJc w:val="left"/>
      <w:pPr>
        <w:ind w:left="720" w:hanging="360"/>
      </w:pPr>
      <w:rPr>
        <w:rFonts w:hint="default" w:ascii="Symbol" w:hAnsi="Symbol"/>
      </w:rPr>
    </w:lvl>
    <w:lvl w:ilvl="1" w:tplc="E36E9F9C">
      <w:start w:val="1"/>
      <w:numFmt w:val="bullet"/>
      <w:lvlText w:val="o"/>
      <w:lvlJc w:val="left"/>
      <w:pPr>
        <w:ind w:left="1440" w:hanging="360"/>
      </w:pPr>
      <w:rPr>
        <w:rFonts w:hint="default" w:ascii="Courier New" w:hAnsi="Courier New"/>
      </w:rPr>
    </w:lvl>
    <w:lvl w:ilvl="2" w:tplc="96B08654">
      <w:start w:val="1"/>
      <w:numFmt w:val="bullet"/>
      <w:lvlText w:val=""/>
      <w:lvlJc w:val="left"/>
      <w:pPr>
        <w:ind w:left="2160" w:hanging="360"/>
      </w:pPr>
      <w:rPr>
        <w:rFonts w:hint="default" w:ascii="Wingdings" w:hAnsi="Wingdings"/>
      </w:rPr>
    </w:lvl>
    <w:lvl w:ilvl="3" w:tplc="EA5672BC">
      <w:start w:val="1"/>
      <w:numFmt w:val="bullet"/>
      <w:lvlText w:val=""/>
      <w:lvlJc w:val="left"/>
      <w:pPr>
        <w:ind w:left="2880" w:hanging="360"/>
      </w:pPr>
      <w:rPr>
        <w:rFonts w:hint="default" w:ascii="Symbol" w:hAnsi="Symbol"/>
      </w:rPr>
    </w:lvl>
    <w:lvl w:ilvl="4" w:tplc="FF52B17A">
      <w:start w:val="1"/>
      <w:numFmt w:val="bullet"/>
      <w:lvlText w:val="o"/>
      <w:lvlJc w:val="left"/>
      <w:pPr>
        <w:ind w:left="3600" w:hanging="360"/>
      </w:pPr>
      <w:rPr>
        <w:rFonts w:hint="default" w:ascii="Courier New" w:hAnsi="Courier New"/>
      </w:rPr>
    </w:lvl>
    <w:lvl w:ilvl="5" w:tplc="0E0053CA">
      <w:start w:val="1"/>
      <w:numFmt w:val="bullet"/>
      <w:lvlText w:val=""/>
      <w:lvlJc w:val="left"/>
      <w:pPr>
        <w:ind w:left="4320" w:hanging="360"/>
      </w:pPr>
      <w:rPr>
        <w:rFonts w:hint="default" w:ascii="Wingdings" w:hAnsi="Wingdings"/>
      </w:rPr>
    </w:lvl>
    <w:lvl w:ilvl="6" w:tplc="C9704F22">
      <w:start w:val="1"/>
      <w:numFmt w:val="bullet"/>
      <w:lvlText w:val=""/>
      <w:lvlJc w:val="left"/>
      <w:pPr>
        <w:ind w:left="5040" w:hanging="360"/>
      </w:pPr>
      <w:rPr>
        <w:rFonts w:hint="default" w:ascii="Symbol" w:hAnsi="Symbol"/>
      </w:rPr>
    </w:lvl>
    <w:lvl w:ilvl="7" w:tplc="431040A2">
      <w:start w:val="1"/>
      <w:numFmt w:val="bullet"/>
      <w:lvlText w:val="o"/>
      <w:lvlJc w:val="left"/>
      <w:pPr>
        <w:ind w:left="5760" w:hanging="360"/>
      </w:pPr>
      <w:rPr>
        <w:rFonts w:hint="default" w:ascii="Courier New" w:hAnsi="Courier New"/>
      </w:rPr>
    </w:lvl>
    <w:lvl w:ilvl="8" w:tplc="DFEAD05A">
      <w:start w:val="1"/>
      <w:numFmt w:val="bullet"/>
      <w:lvlText w:val=""/>
      <w:lvlJc w:val="left"/>
      <w:pPr>
        <w:ind w:left="6480" w:hanging="360"/>
      </w:pPr>
      <w:rPr>
        <w:rFonts w:hint="default" w:ascii="Wingdings" w:hAnsi="Wingdings"/>
      </w:rPr>
    </w:lvl>
  </w:abstractNum>
  <w:abstractNum w:abstractNumId="22" w15:restartNumberingAfterBreak="0">
    <w:nsid w:val="7DA74498"/>
    <w:multiLevelType w:val="multilevel"/>
    <w:tmpl w:val="94422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E6A77CF"/>
    <w:multiLevelType w:val="hybridMultilevel"/>
    <w:tmpl w:val="29F4F6B6"/>
    <w:lvl w:ilvl="0" w:tplc="2D14E1E2">
      <w:start w:val="1"/>
      <w:numFmt w:val="bullet"/>
      <w:lvlText w:val=""/>
      <w:lvlJc w:val="left"/>
      <w:pPr>
        <w:tabs>
          <w:tab w:val="num" w:pos="720"/>
        </w:tabs>
        <w:ind w:left="720" w:hanging="360"/>
      </w:pPr>
      <w:rPr>
        <w:rFonts w:hint="default" w:ascii="Symbol" w:hAnsi="Symbol"/>
        <w:sz w:val="20"/>
      </w:rPr>
    </w:lvl>
    <w:lvl w:ilvl="1" w:tplc="5106AD86" w:tentative="1">
      <w:start w:val="1"/>
      <w:numFmt w:val="bullet"/>
      <w:lvlText w:val="o"/>
      <w:lvlJc w:val="left"/>
      <w:pPr>
        <w:tabs>
          <w:tab w:val="num" w:pos="1440"/>
        </w:tabs>
        <w:ind w:left="1440" w:hanging="360"/>
      </w:pPr>
      <w:rPr>
        <w:rFonts w:hint="default" w:ascii="Courier New" w:hAnsi="Courier New"/>
        <w:sz w:val="20"/>
      </w:rPr>
    </w:lvl>
    <w:lvl w:ilvl="2" w:tplc="99CCC224" w:tentative="1">
      <w:start w:val="1"/>
      <w:numFmt w:val="bullet"/>
      <w:lvlText w:val=""/>
      <w:lvlJc w:val="left"/>
      <w:pPr>
        <w:tabs>
          <w:tab w:val="num" w:pos="2160"/>
        </w:tabs>
        <w:ind w:left="2160" w:hanging="360"/>
      </w:pPr>
      <w:rPr>
        <w:rFonts w:hint="default" w:ascii="Wingdings" w:hAnsi="Wingdings"/>
        <w:sz w:val="20"/>
      </w:rPr>
    </w:lvl>
    <w:lvl w:ilvl="3" w:tplc="7B5E55D0" w:tentative="1">
      <w:start w:val="1"/>
      <w:numFmt w:val="bullet"/>
      <w:lvlText w:val=""/>
      <w:lvlJc w:val="left"/>
      <w:pPr>
        <w:tabs>
          <w:tab w:val="num" w:pos="2880"/>
        </w:tabs>
        <w:ind w:left="2880" w:hanging="360"/>
      </w:pPr>
      <w:rPr>
        <w:rFonts w:hint="default" w:ascii="Wingdings" w:hAnsi="Wingdings"/>
        <w:sz w:val="20"/>
      </w:rPr>
    </w:lvl>
    <w:lvl w:ilvl="4" w:tplc="9D52028A" w:tentative="1">
      <w:start w:val="1"/>
      <w:numFmt w:val="bullet"/>
      <w:lvlText w:val=""/>
      <w:lvlJc w:val="left"/>
      <w:pPr>
        <w:tabs>
          <w:tab w:val="num" w:pos="3600"/>
        </w:tabs>
        <w:ind w:left="3600" w:hanging="360"/>
      </w:pPr>
      <w:rPr>
        <w:rFonts w:hint="default" w:ascii="Wingdings" w:hAnsi="Wingdings"/>
        <w:sz w:val="20"/>
      </w:rPr>
    </w:lvl>
    <w:lvl w:ilvl="5" w:tplc="DBBA0510" w:tentative="1">
      <w:start w:val="1"/>
      <w:numFmt w:val="bullet"/>
      <w:lvlText w:val=""/>
      <w:lvlJc w:val="left"/>
      <w:pPr>
        <w:tabs>
          <w:tab w:val="num" w:pos="4320"/>
        </w:tabs>
        <w:ind w:left="4320" w:hanging="360"/>
      </w:pPr>
      <w:rPr>
        <w:rFonts w:hint="default" w:ascii="Wingdings" w:hAnsi="Wingdings"/>
        <w:sz w:val="20"/>
      </w:rPr>
    </w:lvl>
    <w:lvl w:ilvl="6" w:tplc="80E2EACA" w:tentative="1">
      <w:start w:val="1"/>
      <w:numFmt w:val="bullet"/>
      <w:lvlText w:val=""/>
      <w:lvlJc w:val="left"/>
      <w:pPr>
        <w:tabs>
          <w:tab w:val="num" w:pos="5040"/>
        </w:tabs>
        <w:ind w:left="5040" w:hanging="360"/>
      </w:pPr>
      <w:rPr>
        <w:rFonts w:hint="default" w:ascii="Wingdings" w:hAnsi="Wingdings"/>
        <w:sz w:val="20"/>
      </w:rPr>
    </w:lvl>
    <w:lvl w:ilvl="7" w:tplc="F22AB7D4" w:tentative="1">
      <w:start w:val="1"/>
      <w:numFmt w:val="bullet"/>
      <w:lvlText w:val=""/>
      <w:lvlJc w:val="left"/>
      <w:pPr>
        <w:tabs>
          <w:tab w:val="num" w:pos="5760"/>
        </w:tabs>
        <w:ind w:left="5760" w:hanging="360"/>
      </w:pPr>
      <w:rPr>
        <w:rFonts w:hint="default" w:ascii="Wingdings" w:hAnsi="Wingdings"/>
        <w:sz w:val="20"/>
      </w:rPr>
    </w:lvl>
    <w:lvl w:ilvl="8" w:tplc="C4F2EB34"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FC040C2"/>
    <w:multiLevelType w:val="hybridMultilevel"/>
    <w:tmpl w:val="9C4443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1"/>
  </w:num>
  <w:num w:numId="3">
    <w:abstractNumId w:val="13"/>
  </w:num>
  <w:num w:numId="4">
    <w:abstractNumId w:val="24"/>
  </w:num>
  <w:num w:numId="5">
    <w:abstractNumId w:val="7"/>
  </w:num>
  <w:num w:numId="6">
    <w:abstractNumId w:val="20"/>
  </w:num>
  <w:num w:numId="7">
    <w:abstractNumId w:val="23"/>
  </w:num>
  <w:num w:numId="8">
    <w:abstractNumId w:val="6"/>
  </w:num>
  <w:num w:numId="9">
    <w:abstractNumId w:val="17"/>
  </w:num>
  <w:num w:numId="10">
    <w:abstractNumId w:val="14"/>
  </w:num>
  <w:num w:numId="11">
    <w:abstractNumId w:val="9"/>
  </w:num>
  <w:num w:numId="12">
    <w:abstractNumId w:val="22"/>
  </w:num>
  <w:num w:numId="13">
    <w:abstractNumId w:val="5"/>
  </w:num>
  <w:num w:numId="14">
    <w:abstractNumId w:val="1"/>
  </w:num>
  <w:num w:numId="15">
    <w:abstractNumId w:val="2"/>
  </w:num>
  <w:num w:numId="16">
    <w:abstractNumId w:val="21"/>
  </w:num>
  <w:num w:numId="17">
    <w:abstractNumId w:val="15"/>
  </w:num>
  <w:num w:numId="18">
    <w:abstractNumId w:val="12"/>
  </w:num>
  <w:num w:numId="19">
    <w:abstractNumId w:val="10"/>
  </w:num>
  <w:num w:numId="20">
    <w:abstractNumId w:val="16"/>
  </w:num>
  <w:num w:numId="21">
    <w:abstractNumId w:val="3"/>
  </w:num>
  <w:num w:numId="22">
    <w:abstractNumId w:val="18"/>
  </w:num>
  <w:num w:numId="23">
    <w:abstractNumId w:val="8"/>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17"/>
    <w:rsid w:val="000120A8"/>
    <w:rsid w:val="00026F00"/>
    <w:rsid w:val="000434CE"/>
    <w:rsid w:val="00044AF0"/>
    <w:rsid w:val="00051B4E"/>
    <w:rsid w:val="0005500D"/>
    <w:rsid w:val="000553B2"/>
    <w:rsid w:val="00056C44"/>
    <w:rsid w:val="00064395"/>
    <w:rsid w:val="000646D6"/>
    <w:rsid w:val="00064E87"/>
    <w:rsid w:val="00070A8A"/>
    <w:rsid w:val="00070CDB"/>
    <w:rsid w:val="00075504"/>
    <w:rsid w:val="000766A9"/>
    <w:rsid w:val="00090567"/>
    <w:rsid w:val="000A5B27"/>
    <w:rsid w:val="000C6B65"/>
    <w:rsid w:val="000D37EE"/>
    <w:rsid w:val="000D55E4"/>
    <w:rsid w:val="000D5D0D"/>
    <w:rsid w:val="000D79DB"/>
    <w:rsid w:val="000E2591"/>
    <w:rsid w:val="00104CD4"/>
    <w:rsid w:val="0012187D"/>
    <w:rsid w:val="00121E8E"/>
    <w:rsid w:val="00130984"/>
    <w:rsid w:val="00141216"/>
    <w:rsid w:val="0014283C"/>
    <w:rsid w:val="00145ADF"/>
    <w:rsid w:val="001567E7"/>
    <w:rsid w:val="00157770"/>
    <w:rsid w:val="00170EAF"/>
    <w:rsid w:val="001718EB"/>
    <w:rsid w:val="00182923"/>
    <w:rsid w:val="00184EE6"/>
    <w:rsid w:val="0018653E"/>
    <w:rsid w:val="00187E6B"/>
    <w:rsid w:val="0019494F"/>
    <w:rsid w:val="001949E4"/>
    <w:rsid w:val="001A0108"/>
    <w:rsid w:val="001A6377"/>
    <w:rsid w:val="001A6B32"/>
    <w:rsid w:val="001B3CE0"/>
    <w:rsid w:val="001B55F4"/>
    <w:rsid w:val="001C2FE6"/>
    <w:rsid w:val="001E4AB1"/>
    <w:rsid w:val="001F151B"/>
    <w:rsid w:val="001F6D17"/>
    <w:rsid w:val="00207E3A"/>
    <w:rsid w:val="0022398B"/>
    <w:rsid w:val="00224CE3"/>
    <w:rsid w:val="00227A7E"/>
    <w:rsid w:val="002350DE"/>
    <w:rsid w:val="00240A4B"/>
    <w:rsid w:val="00252A29"/>
    <w:rsid w:val="00270909"/>
    <w:rsid w:val="002747D5"/>
    <w:rsid w:val="00275C85"/>
    <w:rsid w:val="00283FDD"/>
    <w:rsid w:val="00291BC1"/>
    <w:rsid w:val="002936F3"/>
    <w:rsid w:val="00295738"/>
    <w:rsid w:val="002A476D"/>
    <w:rsid w:val="002C2DDF"/>
    <w:rsid w:val="002D1136"/>
    <w:rsid w:val="002D5D04"/>
    <w:rsid w:val="002D5F69"/>
    <w:rsid w:val="002F4A7B"/>
    <w:rsid w:val="002F4B5C"/>
    <w:rsid w:val="002F77B8"/>
    <w:rsid w:val="00301060"/>
    <w:rsid w:val="00304D23"/>
    <w:rsid w:val="00306F19"/>
    <w:rsid w:val="00311696"/>
    <w:rsid w:val="003130C8"/>
    <w:rsid w:val="00325BC4"/>
    <w:rsid w:val="00326BFE"/>
    <w:rsid w:val="003354AB"/>
    <w:rsid w:val="003369BC"/>
    <w:rsid w:val="00344438"/>
    <w:rsid w:val="00357310"/>
    <w:rsid w:val="00367DD5"/>
    <w:rsid w:val="003725CC"/>
    <w:rsid w:val="003749AE"/>
    <w:rsid w:val="00381257"/>
    <w:rsid w:val="00390A35"/>
    <w:rsid w:val="003B48E3"/>
    <w:rsid w:val="003C03FE"/>
    <w:rsid w:val="003C504B"/>
    <w:rsid w:val="003D283B"/>
    <w:rsid w:val="003E120C"/>
    <w:rsid w:val="003F1EDC"/>
    <w:rsid w:val="00400B99"/>
    <w:rsid w:val="00414DD8"/>
    <w:rsid w:val="00415BFD"/>
    <w:rsid w:val="004454D5"/>
    <w:rsid w:val="0045453D"/>
    <w:rsid w:val="00456670"/>
    <w:rsid w:val="00456FA9"/>
    <w:rsid w:val="004579DB"/>
    <w:rsid w:val="00466DCC"/>
    <w:rsid w:val="00473F17"/>
    <w:rsid w:val="00475000"/>
    <w:rsid w:val="00484596"/>
    <w:rsid w:val="00495024"/>
    <w:rsid w:val="00495C45"/>
    <w:rsid w:val="004C0BB1"/>
    <w:rsid w:val="004C46EC"/>
    <w:rsid w:val="004C68DB"/>
    <w:rsid w:val="004C7B79"/>
    <w:rsid w:val="004D121D"/>
    <w:rsid w:val="004D2F24"/>
    <w:rsid w:val="004D457C"/>
    <w:rsid w:val="004D5F3E"/>
    <w:rsid w:val="004E1AF0"/>
    <w:rsid w:val="004E69B0"/>
    <w:rsid w:val="004F72FB"/>
    <w:rsid w:val="005031B9"/>
    <w:rsid w:val="00503D9A"/>
    <w:rsid w:val="00504FA7"/>
    <w:rsid w:val="00513DF8"/>
    <w:rsid w:val="0053625A"/>
    <w:rsid w:val="0053795B"/>
    <w:rsid w:val="00553D4D"/>
    <w:rsid w:val="00560527"/>
    <w:rsid w:val="005760F3"/>
    <w:rsid w:val="00577856"/>
    <w:rsid w:val="00593C1A"/>
    <w:rsid w:val="0059446E"/>
    <w:rsid w:val="005A00E2"/>
    <w:rsid w:val="005B3145"/>
    <w:rsid w:val="005B38FB"/>
    <w:rsid w:val="005B56EF"/>
    <w:rsid w:val="005C0783"/>
    <w:rsid w:val="005E1656"/>
    <w:rsid w:val="005E44FE"/>
    <w:rsid w:val="005E7B9B"/>
    <w:rsid w:val="005F06D1"/>
    <w:rsid w:val="005F4297"/>
    <w:rsid w:val="00614BFF"/>
    <w:rsid w:val="006154EC"/>
    <w:rsid w:val="00634C01"/>
    <w:rsid w:val="006353B2"/>
    <w:rsid w:val="00636F19"/>
    <w:rsid w:val="0064440E"/>
    <w:rsid w:val="00674065"/>
    <w:rsid w:val="006835D7"/>
    <w:rsid w:val="00694659"/>
    <w:rsid w:val="006C0666"/>
    <w:rsid w:val="006C0F86"/>
    <w:rsid w:val="006D1440"/>
    <w:rsid w:val="006D4228"/>
    <w:rsid w:val="006E086E"/>
    <w:rsid w:val="006E15BB"/>
    <w:rsid w:val="006F0F22"/>
    <w:rsid w:val="006F13B7"/>
    <w:rsid w:val="00717C44"/>
    <w:rsid w:val="00732354"/>
    <w:rsid w:val="00736082"/>
    <w:rsid w:val="00740916"/>
    <w:rsid w:val="00747C10"/>
    <w:rsid w:val="0075516A"/>
    <w:rsid w:val="00757494"/>
    <w:rsid w:val="007743BC"/>
    <w:rsid w:val="0077500D"/>
    <w:rsid w:val="00780CDB"/>
    <w:rsid w:val="0078242A"/>
    <w:rsid w:val="00784775"/>
    <w:rsid w:val="007A06A6"/>
    <w:rsid w:val="007B13C5"/>
    <w:rsid w:val="007C5547"/>
    <w:rsid w:val="007C5E94"/>
    <w:rsid w:val="007D447F"/>
    <w:rsid w:val="008036F2"/>
    <w:rsid w:val="00804C85"/>
    <w:rsid w:val="0081101E"/>
    <w:rsid w:val="008133E0"/>
    <w:rsid w:val="0081472A"/>
    <w:rsid w:val="008228D9"/>
    <w:rsid w:val="008278AF"/>
    <w:rsid w:val="00833935"/>
    <w:rsid w:val="008360FC"/>
    <w:rsid w:val="008420EB"/>
    <w:rsid w:val="008468C1"/>
    <w:rsid w:val="00847634"/>
    <w:rsid w:val="00852F96"/>
    <w:rsid w:val="008547B9"/>
    <w:rsid w:val="00871376"/>
    <w:rsid w:val="0088095A"/>
    <w:rsid w:val="008D68D7"/>
    <w:rsid w:val="008E03EF"/>
    <w:rsid w:val="008E0DE8"/>
    <w:rsid w:val="008E390D"/>
    <w:rsid w:val="008F2C21"/>
    <w:rsid w:val="00907EB1"/>
    <w:rsid w:val="009175AB"/>
    <w:rsid w:val="00920B46"/>
    <w:rsid w:val="00920CEF"/>
    <w:rsid w:val="00920DC8"/>
    <w:rsid w:val="00925F96"/>
    <w:rsid w:val="00927AAE"/>
    <w:rsid w:val="00954296"/>
    <w:rsid w:val="00954ED6"/>
    <w:rsid w:val="00980886"/>
    <w:rsid w:val="009A41B3"/>
    <w:rsid w:val="009B0700"/>
    <w:rsid w:val="009C0350"/>
    <w:rsid w:val="009C6029"/>
    <w:rsid w:val="009D080C"/>
    <w:rsid w:val="009E7564"/>
    <w:rsid w:val="009E7A85"/>
    <w:rsid w:val="009F22C9"/>
    <w:rsid w:val="009F7D5E"/>
    <w:rsid w:val="00A037F1"/>
    <w:rsid w:val="00A06DCB"/>
    <w:rsid w:val="00A0923B"/>
    <w:rsid w:val="00A21F24"/>
    <w:rsid w:val="00A23188"/>
    <w:rsid w:val="00A27767"/>
    <w:rsid w:val="00A35380"/>
    <w:rsid w:val="00A3574B"/>
    <w:rsid w:val="00A46894"/>
    <w:rsid w:val="00A46AA9"/>
    <w:rsid w:val="00A62B1D"/>
    <w:rsid w:val="00A664F3"/>
    <w:rsid w:val="00A73CB9"/>
    <w:rsid w:val="00A753D1"/>
    <w:rsid w:val="00A87BA8"/>
    <w:rsid w:val="00A87BBC"/>
    <w:rsid w:val="00A87E8B"/>
    <w:rsid w:val="00AA00D6"/>
    <w:rsid w:val="00AB5284"/>
    <w:rsid w:val="00AC3D66"/>
    <w:rsid w:val="00AC7676"/>
    <w:rsid w:val="00AD361E"/>
    <w:rsid w:val="00AE18FE"/>
    <w:rsid w:val="00AE3772"/>
    <w:rsid w:val="00AF1CA2"/>
    <w:rsid w:val="00B0253E"/>
    <w:rsid w:val="00B11918"/>
    <w:rsid w:val="00B1433C"/>
    <w:rsid w:val="00B20D09"/>
    <w:rsid w:val="00B378E0"/>
    <w:rsid w:val="00B66DB8"/>
    <w:rsid w:val="00B86F25"/>
    <w:rsid w:val="00B94E3D"/>
    <w:rsid w:val="00B95CC0"/>
    <w:rsid w:val="00BA0AC3"/>
    <w:rsid w:val="00BA194F"/>
    <w:rsid w:val="00BA56C7"/>
    <w:rsid w:val="00BA5EBE"/>
    <w:rsid w:val="00BB3B9F"/>
    <w:rsid w:val="00BB761C"/>
    <w:rsid w:val="00BF2031"/>
    <w:rsid w:val="00BF291D"/>
    <w:rsid w:val="00C0176D"/>
    <w:rsid w:val="00C07A68"/>
    <w:rsid w:val="00C106FE"/>
    <w:rsid w:val="00C16E18"/>
    <w:rsid w:val="00C23BC2"/>
    <w:rsid w:val="00C244B2"/>
    <w:rsid w:val="00C24851"/>
    <w:rsid w:val="00C306D3"/>
    <w:rsid w:val="00C43114"/>
    <w:rsid w:val="00C54B6F"/>
    <w:rsid w:val="00C61181"/>
    <w:rsid w:val="00C66F29"/>
    <w:rsid w:val="00C72ED0"/>
    <w:rsid w:val="00C80EB6"/>
    <w:rsid w:val="00C932B8"/>
    <w:rsid w:val="00C94100"/>
    <w:rsid w:val="00CB180D"/>
    <w:rsid w:val="00CC354B"/>
    <w:rsid w:val="00CD249D"/>
    <w:rsid w:val="00CE3611"/>
    <w:rsid w:val="00CE4829"/>
    <w:rsid w:val="00CE57C2"/>
    <w:rsid w:val="00CF26E3"/>
    <w:rsid w:val="00CF7A10"/>
    <w:rsid w:val="00D201B6"/>
    <w:rsid w:val="00D3490B"/>
    <w:rsid w:val="00D36F35"/>
    <w:rsid w:val="00D4181A"/>
    <w:rsid w:val="00D46001"/>
    <w:rsid w:val="00D52667"/>
    <w:rsid w:val="00D60D7D"/>
    <w:rsid w:val="00D674E1"/>
    <w:rsid w:val="00D75EE1"/>
    <w:rsid w:val="00D8005B"/>
    <w:rsid w:val="00D800BF"/>
    <w:rsid w:val="00D94DC4"/>
    <w:rsid w:val="00D97A3A"/>
    <w:rsid w:val="00DA79C1"/>
    <w:rsid w:val="00DB5F8A"/>
    <w:rsid w:val="00DB7D2C"/>
    <w:rsid w:val="00DC0628"/>
    <w:rsid w:val="00DC7266"/>
    <w:rsid w:val="00DD6CCB"/>
    <w:rsid w:val="00DE1EB9"/>
    <w:rsid w:val="00DE55B9"/>
    <w:rsid w:val="00DE733C"/>
    <w:rsid w:val="00DF0986"/>
    <w:rsid w:val="00DF3178"/>
    <w:rsid w:val="00E04E25"/>
    <w:rsid w:val="00E06318"/>
    <w:rsid w:val="00E12252"/>
    <w:rsid w:val="00E27004"/>
    <w:rsid w:val="00E31003"/>
    <w:rsid w:val="00E35E39"/>
    <w:rsid w:val="00E40663"/>
    <w:rsid w:val="00E52D25"/>
    <w:rsid w:val="00E610DF"/>
    <w:rsid w:val="00E63838"/>
    <w:rsid w:val="00E70B29"/>
    <w:rsid w:val="00E75174"/>
    <w:rsid w:val="00E7697B"/>
    <w:rsid w:val="00E76C53"/>
    <w:rsid w:val="00E83DF4"/>
    <w:rsid w:val="00E86071"/>
    <w:rsid w:val="00E953E8"/>
    <w:rsid w:val="00EB174E"/>
    <w:rsid w:val="00EB2978"/>
    <w:rsid w:val="00EB4F58"/>
    <w:rsid w:val="00EC3516"/>
    <w:rsid w:val="00F02B5B"/>
    <w:rsid w:val="00F04B11"/>
    <w:rsid w:val="00F24D5F"/>
    <w:rsid w:val="00F34A44"/>
    <w:rsid w:val="00F35153"/>
    <w:rsid w:val="00F37859"/>
    <w:rsid w:val="00F40445"/>
    <w:rsid w:val="00F54100"/>
    <w:rsid w:val="00F568D5"/>
    <w:rsid w:val="00F604FE"/>
    <w:rsid w:val="00F65863"/>
    <w:rsid w:val="00F7037D"/>
    <w:rsid w:val="00F72986"/>
    <w:rsid w:val="00F76437"/>
    <w:rsid w:val="00F9037E"/>
    <w:rsid w:val="00FA5606"/>
    <w:rsid w:val="00FB07C2"/>
    <w:rsid w:val="00FB283A"/>
    <w:rsid w:val="00FC5D1E"/>
    <w:rsid w:val="00FD2C94"/>
    <w:rsid w:val="00FD5557"/>
    <w:rsid w:val="00FE6F98"/>
    <w:rsid w:val="00FF1698"/>
    <w:rsid w:val="00FF284A"/>
    <w:rsid w:val="00FF5B9C"/>
    <w:rsid w:val="01A0BC75"/>
    <w:rsid w:val="01C06BC1"/>
    <w:rsid w:val="02CDA560"/>
    <w:rsid w:val="031B8337"/>
    <w:rsid w:val="03740E7B"/>
    <w:rsid w:val="03FF0B43"/>
    <w:rsid w:val="044A6F6F"/>
    <w:rsid w:val="0491E324"/>
    <w:rsid w:val="04B44484"/>
    <w:rsid w:val="04D968BF"/>
    <w:rsid w:val="04DB2434"/>
    <w:rsid w:val="061C50C2"/>
    <w:rsid w:val="06530AED"/>
    <w:rsid w:val="06B40140"/>
    <w:rsid w:val="06D49182"/>
    <w:rsid w:val="07366EEB"/>
    <w:rsid w:val="0748B995"/>
    <w:rsid w:val="07572FB8"/>
    <w:rsid w:val="076C0EC5"/>
    <w:rsid w:val="07D9A1B8"/>
    <w:rsid w:val="07EEDB4E"/>
    <w:rsid w:val="0818CBD9"/>
    <w:rsid w:val="08481E4A"/>
    <w:rsid w:val="084FD1A1"/>
    <w:rsid w:val="08674F38"/>
    <w:rsid w:val="086F97F6"/>
    <w:rsid w:val="08927BC3"/>
    <w:rsid w:val="0898997F"/>
    <w:rsid w:val="0933F51E"/>
    <w:rsid w:val="09600AF0"/>
    <w:rsid w:val="0A54E750"/>
    <w:rsid w:val="0AC8FB20"/>
    <w:rsid w:val="0B2B3123"/>
    <w:rsid w:val="0B3EF428"/>
    <w:rsid w:val="0BAC39A2"/>
    <w:rsid w:val="0C1748FB"/>
    <w:rsid w:val="0C1DE804"/>
    <w:rsid w:val="0C70C61C"/>
    <w:rsid w:val="0C7125F6"/>
    <w:rsid w:val="0C8D50B6"/>
    <w:rsid w:val="0E57AEC4"/>
    <w:rsid w:val="0F8F9E5B"/>
    <w:rsid w:val="10E29A52"/>
    <w:rsid w:val="1274D10F"/>
    <w:rsid w:val="12877E21"/>
    <w:rsid w:val="130645C2"/>
    <w:rsid w:val="1493D9F9"/>
    <w:rsid w:val="14A35A7F"/>
    <w:rsid w:val="14DD77E8"/>
    <w:rsid w:val="15343A7F"/>
    <w:rsid w:val="1539791F"/>
    <w:rsid w:val="1602418F"/>
    <w:rsid w:val="16045120"/>
    <w:rsid w:val="16054F36"/>
    <w:rsid w:val="1665F081"/>
    <w:rsid w:val="16AE5CC4"/>
    <w:rsid w:val="182DE7F1"/>
    <w:rsid w:val="1857F2A8"/>
    <w:rsid w:val="186C2CF9"/>
    <w:rsid w:val="1903CCBA"/>
    <w:rsid w:val="190B8651"/>
    <w:rsid w:val="192289EE"/>
    <w:rsid w:val="19DA8B69"/>
    <w:rsid w:val="19F61BE2"/>
    <w:rsid w:val="1AD7C243"/>
    <w:rsid w:val="1B1B2FF0"/>
    <w:rsid w:val="1B302927"/>
    <w:rsid w:val="1C0C0EB4"/>
    <w:rsid w:val="1C40C6EB"/>
    <w:rsid w:val="1C568D98"/>
    <w:rsid w:val="1CB91578"/>
    <w:rsid w:val="1CBE64A4"/>
    <w:rsid w:val="1CBEFE05"/>
    <w:rsid w:val="1CED514C"/>
    <w:rsid w:val="1D0855AA"/>
    <w:rsid w:val="1D917105"/>
    <w:rsid w:val="1DC0CAF0"/>
    <w:rsid w:val="1EA376D5"/>
    <w:rsid w:val="1F1A6D9E"/>
    <w:rsid w:val="201354E5"/>
    <w:rsid w:val="20C911C7"/>
    <w:rsid w:val="20E23A24"/>
    <w:rsid w:val="21260223"/>
    <w:rsid w:val="22A8AA27"/>
    <w:rsid w:val="22EDA328"/>
    <w:rsid w:val="23248C96"/>
    <w:rsid w:val="23541358"/>
    <w:rsid w:val="241CD016"/>
    <w:rsid w:val="24361AB0"/>
    <w:rsid w:val="24372935"/>
    <w:rsid w:val="24D6CE58"/>
    <w:rsid w:val="2585EB2B"/>
    <w:rsid w:val="25FEAAA3"/>
    <w:rsid w:val="268041FD"/>
    <w:rsid w:val="279CB7D7"/>
    <w:rsid w:val="27CD08CF"/>
    <w:rsid w:val="286B9F30"/>
    <w:rsid w:val="28D9D286"/>
    <w:rsid w:val="28DADE52"/>
    <w:rsid w:val="2917EBAB"/>
    <w:rsid w:val="29AEBE42"/>
    <w:rsid w:val="29FF97A0"/>
    <w:rsid w:val="2A7DD073"/>
    <w:rsid w:val="2A80E9CA"/>
    <w:rsid w:val="2C60A17C"/>
    <w:rsid w:val="2C68B4CA"/>
    <w:rsid w:val="2C9F2832"/>
    <w:rsid w:val="2CAFD3EE"/>
    <w:rsid w:val="2CF81E0F"/>
    <w:rsid w:val="2CF8E51D"/>
    <w:rsid w:val="2CFF8761"/>
    <w:rsid w:val="2D56E19E"/>
    <w:rsid w:val="2DC5F065"/>
    <w:rsid w:val="2E9B34CE"/>
    <w:rsid w:val="2F170760"/>
    <w:rsid w:val="2FBF6853"/>
    <w:rsid w:val="2FE8A0EA"/>
    <w:rsid w:val="2FEA3BAD"/>
    <w:rsid w:val="3029B554"/>
    <w:rsid w:val="3044E61D"/>
    <w:rsid w:val="30DFB9C5"/>
    <w:rsid w:val="310E2737"/>
    <w:rsid w:val="3139F5AA"/>
    <w:rsid w:val="3149DD29"/>
    <w:rsid w:val="31944745"/>
    <w:rsid w:val="32BCC276"/>
    <w:rsid w:val="32E5AD8A"/>
    <w:rsid w:val="32FED5E7"/>
    <w:rsid w:val="3469EA20"/>
    <w:rsid w:val="34817DEB"/>
    <w:rsid w:val="354786EE"/>
    <w:rsid w:val="354F9E2B"/>
    <w:rsid w:val="356F62E9"/>
    <w:rsid w:val="35AAB514"/>
    <w:rsid w:val="35D3D04D"/>
    <w:rsid w:val="35F66EB3"/>
    <w:rsid w:val="3605BA81"/>
    <w:rsid w:val="36852B7C"/>
    <w:rsid w:val="375BEA2B"/>
    <w:rsid w:val="37B220F2"/>
    <w:rsid w:val="38783B4D"/>
    <w:rsid w:val="3A455051"/>
    <w:rsid w:val="3A84AE65"/>
    <w:rsid w:val="3A8FC5D4"/>
    <w:rsid w:val="3AFABAA3"/>
    <w:rsid w:val="3B4D7CFA"/>
    <w:rsid w:val="3BC57C10"/>
    <w:rsid w:val="3C444C85"/>
    <w:rsid w:val="3CBBBC1A"/>
    <w:rsid w:val="3D047054"/>
    <w:rsid w:val="3D1BBA34"/>
    <w:rsid w:val="3D35CF15"/>
    <w:rsid w:val="3D63C8B6"/>
    <w:rsid w:val="3D723F02"/>
    <w:rsid w:val="3D9ADEB3"/>
    <w:rsid w:val="3D9E0E8E"/>
    <w:rsid w:val="3E16A3B1"/>
    <w:rsid w:val="3F02FAC7"/>
    <w:rsid w:val="3F096A5B"/>
    <w:rsid w:val="3F6DEDE6"/>
    <w:rsid w:val="3F91AD2F"/>
    <w:rsid w:val="409ECB28"/>
    <w:rsid w:val="40A209A9"/>
    <w:rsid w:val="41730CCA"/>
    <w:rsid w:val="4188D377"/>
    <w:rsid w:val="41CD1E8B"/>
    <w:rsid w:val="424BDE03"/>
    <w:rsid w:val="4277BC45"/>
    <w:rsid w:val="4309F75E"/>
    <w:rsid w:val="430E4CDA"/>
    <w:rsid w:val="433CBB67"/>
    <w:rsid w:val="43624E42"/>
    <w:rsid w:val="43D800A9"/>
    <w:rsid w:val="44760B3D"/>
    <w:rsid w:val="44F13061"/>
    <w:rsid w:val="44F659DC"/>
    <w:rsid w:val="45474E5A"/>
    <w:rsid w:val="45B89861"/>
    <w:rsid w:val="46437F25"/>
    <w:rsid w:val="46895DC1"/>
    <w:rsid w:val="4785EEE9"/>
    <w:rsid w:val="483B7020"/>
    <w:rsid w:val="48629FAA"/>
    <w:rsid w:val="495BEC77"/>
    <w:rsid w:val="4976BBAF"/>
    <w:rsid w:val="498B115F"/>
    <w:rsid w:val="49B4094A"/>
    <w:rsid w:val="49FB29C0"/>
    <w:rsid w:val="4A4C322F"/>
    <w:rsid w:val="4A4D194B"/>
    <w:rsid w:val="4AE9BE3D"/>
    <w:rsid w:val="4B27CC57"/>
    <w:rsid w:val="4B6BDF2B"/>
    <w:rsid w:val="4B6EA397"/>
    <w:rsid w:val="4BC9EA04"/>
    <w:rsid w:val="4C452CC1"/>
    <w:rsid w:val="4C595E53"/>
    <w:rsid w:val="4CBADC11"/>
    <w:rsid w:val="4E505C21"/>
    <w:rsid w:val="4F15BCE1"/>
    <w:rsid w:val="4F3698CF"/>
    <w:rsid w:val="4FC91985"/>
    <w:rsid w:val="4FF1F017"/>
    <w:rsid w:val="4FF68A32"/>
    <w:rsid w:val="501735CD"/>
    <w:rsid w:val="509481D0"/>
    <w:rsid w:val="50B4EEF2"/>
    <w:rsid w:val="5195824F"/>
    <w:rsid w:val="51E5D2A1"/>
    <w:rsid w:val="531364A2"/>
    <w:rsid w:val="53EC8FB4"/>
    <w:rsid w:val="54D6742C"/>
    <w:rsid w:val="5562273D"/>
    <w:rsid w:val="56BC37AB"/>
    <w:rsid w:val="56F07586"/>
    <w:rsid w:val="57024E50"/>
    <w:rsid w:val="572ADE26"/>
    <w:rsid w:val="578CCE61"/>
    <w:rsid w:val="57A36F42"/>
    <w:rsid w:val="57B24944"/>
    <w:rsid w:val="57B6EB05"/>
    <w:rsid w:val="582BD21A"/>
    <w:rsid w:val="58550AA8"/>
    <w:rsid w:val="59228106"/>
    <w:rsid w:val="5925C8B4"/>
    <w:rsid w:val="5937E15B"/>
    <w:rsid w:val="59C07E30"/>
    <w:rsid w:val="5A2F6C56"/>
    <w:rsid w:val="5A37180F"/>
    <w:rsid w:val="5A9F4AE8"/>
    <w:rsid w:val="5B570008"/>
    <w:rsid w:val="5B7222A4"/>
    <w:rsid w:val="5B77CFE6"/>
    <w:rsid w:val="5BB50B71"/>
    <w:rsid w:val="5BBB78D1"/>
    <w:rsid w:val="5C21F789"/>
    <w:rsid w:val="5CAE4A3D"/>
    <w:rsid w:val="5D4959C7"/>
    <w:rsid w:val="5D574932"/>
    <w:rsid w:val="5D9493DA"/>
    <w:rsid w:val="5DCA5540"/>
    <w:rsid w:val="5F224D55"/>
    <w:rsid w:val="5FC04B3C"/>
    <w:rsid w:val="600E1BDC"/>
    <w:rsid w:val="602F7D26"/>
    <w:rsid w:val="605801ED"/>
    <w:rsid w:val="60B0A628"/>
    <w:rsid w:val="60C07A02"/>
    <w:rsid w:val="619C3C9B"/>
    <w:rsid w:val="62BFE0B8"/>
    <w:rsid w:val="62DB454A"/>
    <w:rsid w:val="6304A6D6"/>
    <w:rsid w:val="63F8B54D"/>
    <w:rsid w:val="6427896A"/>
    <w:rsid w:val="64392055"/>
    <w:rsid w:val="64DF5DA5"/>
    <w:rsid w:val="64F88602"/>
    <w:rsid w:val="6550DD4F"/>
    <w:rsid w:val="65B21EF4"/>
    <w:rsid w:val="65CDAF57"/>
    <w:rsid w:val="65E3A050"/>
    <w:rsid w:val="6607328A"/>
    <w:rsid w:val="6608F194"/>
    <w:rsid w:val="660E3796"/>
    <w:rsid w:val="66499D9E"/>
    <w:rsid w:val="665A2C62"/>
    <w:rsid w:val="66DC1ED0"/>
    <w:rsid w:val="67A3F472"/>
    <w:rsid w:val="67D0D888"/>
    <w:rsid w:val="67F96024"/>
    <w:rsid w:val="67FA5C43"/>
    <w:rsid w:val="68A5F7B7"/>
    <w:rsid w:val="68ADE619"/>
    <w:rsid w:val="68BC3001"/>
    <w:rsid w:val="690467E7"/>
    <w:rsid w:val="697D39BB"/>
    <w:rsid w:val="69D3E82D"/>
    <w:rsid w:val="6A580062"/>
    <w:rsid w:val="6A606BDC"/>
    <w:rsid w:val="6B974BA4"/>
    <w:rsid w:val="6C6263B9"/>
    <w:rsid w:val="6C7D7347"/>
    <w:rsid w:val="6CAB6B70"/>
    <w:rsid w:val="6CDAB523"/>
    <w:rsid w:val="6D4EF863"/>
    <w:rsid w:val="6D83E101"/>
    <w:rsid w:val="6DA6397C"/>
    <w:rsid w:val="6DBBF163"/>
    <w:rsid w:val="6E41F32F"/>
    <w:rsid w:val="6E88BC30"/>
    <w:rsid w:val="6FAC0BD2"/>
    <w:rsid w:val="70248C91"/>
    <w:rsid w:val="70B2F6CA"/>
    <w:rsid w:val="71C05CF2"/>
    <w:rsid w:val="71C64159"/>
    <w:rsid w:val="722E6BD8"/>
    <w:rsid w:val="723FE263"/>
    <w:rsid w:val="72665FC7"/>
    <w:rsid w:val="72C8899B"/>
    <w:rsid w:val="72D0BD66"/>
    <w:rsid w:val="73D88A38"/>
    <w:rsid w:val="73FB6834"/>
    <w:rsid w:val="7490B7CC"/>
    <w:rsid w:val="74BFB6EE"/>
    <w:rsid w:val="75430712"/>
    <w:rsid w:val="76600E9B"/>
    <w:rsid w:val="769D39E1"/>
    <w:rsid w:val="76A810A2"/>
    <w:rsid w:val="76E4F490"/>
    <w:rsid w:val="77472AB9"/>
    <w:rsid w:val="77EEE9D8"/>
    <w:rsid w:val="782F9E76"/>
    <w:rsid w:val="785486C4"/>
    <w:rsid w:val="78681DE6"/>
    <w:rsid w:val="7937CB1F"/>
    <w:rsid w:val="7939C5BB"/>
    <w:rsid w:val="79CB6ED7"/>
    <w:rsid w:val="79E1B828"/>
    <w:rsid w:val="7A7ECB7B"/>
    <w:rsid w:val="7AE9F4B3"/>
    <w:rsid w:val="7B40B191"/>
    <w:rsid w:val="7B673F38"/>
    <w:rsid w:val="7B83C945"/>
    <w:rsid w:val="7BF3BC43"/>
    <w:rsid w:val="7D50F4FA"/>
    <w:rsid w:val="7E00D659"/>
    <w:rsid w:val="7E362324"/>
    <w:rsid w:val="7F5A4AE4"/>
    <w:rsid w:val="7FDAAD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F7C67"/>
  <w15:chartTrackingRefBased/>
  <w15:docId w15:val="{8E8B2B7A-9FAE-4F5B-815D-3D9366A4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1718EB"/>
    <w:pPr>
      <w:spacing w:before="100" w:beforeAutospacing="1" w:after="120" w:line="276" w:lineRule="auto"/>
      <w:jc w:val="center"/>
      <w:outlineLvl w:val="0"/>
    </w:pPr>
    <w:rPr>
      <w:rFonts w:ascii="Calibri" w:hAnsi="Calibri" w:eastAsia="Times New Roman" w:cs="Arial"/>
      <w:b/>
      <w:color w:val="4472C4" w:themeColor="accent1"/>
      <w:sz w:val="28"/>
      <w:szCs w:val="28"/>
    </w:rPr>
  </w:style>
  <w:style w:type="paragraph" w:styleId="Heading2">
    <w:name w:val="heading 2"/>
    <w:basedOn w:val="Normal"/>
    <w:next w:val="Normal"/>
    <w:uiPriority w:val="9"/>
    <w:unhideWhenUsed/>
    <w:qFormat/>
    <w:rsid w:val="00E63838"/>
    <w:pPr>
      <w:ind w:left="720"/>
      <w:outlineLvl w:val="1"/>
    </w:pPr>
    <w:rPr>
      <w:b/>
      <w:bCs/>
      <w:sz w:val="24"/>
      <w:szCs w:val="24"/>
    </w:rPr>
  </w:style>
  <w:style w:type="paragraph" w:styleId="Heading5">
    <w:name w:val="heading 5"/>
    <w:basedOn w:val="Normal"/>
    <w:next w:val="Normal"/>
    <w:link w:val="Heading5Char"/>
    <w:uiPriority w:val="9"/>
    <w:semiHidden/>
    <w:unhideWhenUsed/>
    <w:qFormat/>
    <w:rsid w:val="0019494F"/>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F6D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6D17"/>
    <w:rPr>
      <w:rFonts w:ascii="Segoe UI" w:hAnsi="Segoe UI" w:cs="Segoe UI"/>
      <w:sz w:val="18"/>
      <w:szCs w:val="18"/>
    </w:rPr>
  </w:style>
  <w:style w:type="paragraph" w:styleId="ListParagraph">
    <w:name w:val="List Paragraph"/>
    <w:basedOn w:val="Normal"/>
    <w:uiPriority w:val="34"/>
    <w:qFormat/>
    <w:rsid w:val="000E2591"/>
    <w:pPr>
      <w:ind w:left="720"/>
      <w:contextualSpacing/>
    </w:pPr>
  </w:style>
  <w:style w:type="character" w:styleId="CommentReference">
    <w:name w:val="annotation reference"/>
    <w:basedOn w:val="DefaultParagraphFont"/>
    <w:uiPriority w:val="99"/>
    <w:semiHidden/>
    <w:unhideWhenUsed/>
    <w:rsid w:val="00306F19"/>
    <w:rPr>
      <w:sz w:val="16"/>
      <w:szCs w:val="16"/>
    </w:rPr>
  </w:style>
  <w:style w:type="paragraph" w:styleId="CommentText">
    <w:name w:val="annotation text"/>
    <w:basedOn w:val="Normal"/>
    <w:link w:val="CommentTextChar"/>
    <w:uiPriority w:val="99"/>
    <w:semiHidden/>
    <w:unhideWhenUsed/>
    <w:rsid w:val="00306F19"/>
    <w:pPr>
      <w:spacing w:line="240" w:lineRule="auto"/>
    </w:pPr>
    <w:rPr>
      <w:sz w:val="20"/>
      <w:szCs w:val="20"/>
    </w:rPr>
  </w:style>
  <w:style w:type="character" w:styleId="CommentTextChar" w:customStyle="1">
    <w:name w:val="Comment Text Char"/>
    <w:basedOn w:val="DefaultParagraphFont"/>
    <w:link w:val="CommentText"/>
    <w:uiPriority w:val="99"/>
    <w:semiHidden/>
    <w:rsid w:val="00306F19"/>
    <w:rPr>
      <w:sz w:val="20"/>
      <w:szCs w:val="20"/>
    </w:rPr>
  </w:style>
  <w:style w:type="paragraph" w:styleId="CommentSubject">
    <w:name w:val="annotation subject"/>
    <w:basedOn w:val="CommentText"/>
    <w:next w:val="CommentText"/>
    <w:link w:val="CommentSubjectChar"/>
    <w:uiPriority w:val="99"/>
    <w:semiHidden/>
    <w:unhideWhenUsed/>
    <w:rsid w:val="00306F19"/>
    <w:rPr>
      <w:b/>
      <w:bCs/>
    </w:rPr>
  </w:style>
  <w:style w:type="character" w:styleId="CommentSubjectChar" w:customStyle="1">
    <w:name w:val="Comment Subject Char"/>
    <w:basedOn w:val="CommentTextChar"/>
    <w:link w:val="CommentSubject"/>
    <w:uiPriority w:val="99"/>
    <w:semiHidden/>
    <w:rsid w:val="00306F19"/>
    <w:rPr>
      <w:b/>
      <w:bCs/>
      <w:sz w:val="20"/>
      <w:szCs w:val="20"/>
    </w:rPr>
  </w:style>
  <w:style w:type="paragraph" w:styleId="Revision">
    <w:name w:val="Revision"/>
    <w:hidden/>
    <w:uiPriority w:val="99"/>
    <w:semiHidden/>
    <w:rsid w:val="00051B4E"/>
    <w:pPr>
      <w:spacing w:after="0" w:line="240" w:lineRule="auto"/>
    </w:pPr>
  </w:style>
  <w:style w:type="paragraph" w:styleId="NormalWeb">
    <w:name w:val="Normal (Web)"/>
    <w:basedOn w:val="Normal"/>
    <w:uiPriority w:val="99"/>
    <w:unhideWhenUsed/>
    <w:rsid w:val="00A46AA9"/>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326B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6BFE"/>
  </w:style>
  <w:style w:type="paragraph" w:styleId="Footer">
    <w:name w:val="footer"/>
    <w:basedOn w:val="Normal"/>
    <w:link w:val="FooterChar"/>
    <w:uiPriority w:val="99"/>
    <w:unhideWhenUsed/>
    <w:rsid w:val="00326B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6BFE"/>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rsid w:val="001718EB"/>
    <w:rPr>
      <w:rFonts w:ascii="Calibri" w:hAnsi="Calibri" w:eastAsia="Times New Roman" w:cs="Arial"/>
      <w:b/>
      <w:color w:val="4472C4" w:themeColor="accent1"/>
      <w:sz w:val="28"/>
      <w:szCs w:val="28"/>
    </w:rPr>
  </w:style>
  <w:style w:type="paragraph" w:styleId="TOCHeading">
    <w:name w:val="TOC Heading"/>
    <w:basedOn w:val="Heading1"/>
    <w:next w:val="Normal"/>
    <w:uiPriority w:val="39"/>
    <w:unhideWhenUsed/>
    <w:qFormat/>
    <w:rsid w:val="00D3490B"/>
    <w:pPr>
      <w:keepNext/>
      <w:keepLines/>
      <w:spacing w:before="480" w:after="0"/>
      <w:jc w:val="left"/>
      <w:outlineLvl w:val="9"/>
    </w:pPr>
    <w:rPr>
      <w:rFonts w:asciiTheme="majorHAnsi" w:hAnsiTheme="majorHAnsi" w:eastAsiaTheme="majorEastAsia" w:cstheme="majorBidi"/>
      <w:bCs/>
      <w:color w:val="2F5496" w:themeColor="accent1" w:themeShade="BF"/>
    </w:rPr>
  </w:style>
  <w:style w:type="paragraph" w:styleId="TOC2">
    <w:name w:val="toc 2"/>
    <w:basedOn w:val="Normal"/>
    <w:next w:val="Normal"/>
    <w:autoRedefine/>
    <w:uiPriority w:val="39"/>
    <w:unhideWhenUsed/>
    <w:rsid w:val="00D3490B"/>
    <w:pPr>
      <w:spacing w:before="120" w:after="0"/>
      <w:ind w:left="220"/>
    </w:pPr>
    <w:rPr>
      <w:b/>
      <w:bCs/>
    </w:rPr>
  </w:style>
  <w:style w:type="paragraph" w:styleId="TOC1">
    <w:name w:val="toc 1"/>
    <w:basedOn w:val="Normal"/>
    <w:next w:val="Normal"/>
    <w:autoRedefine/>
    <w:uiPriority w:val="39"/>
    <w:unhideWhenUsed/>
    <w:rsid w:val="00D3490B"/>
    <w:pPr>
      <w:spacing w:before="120" w:after="0"/>
    </w:pPr>
    <w:rPr>
      <w:b/>
      <w:bCs/>
      <w:i/>
      <w:iCs/>
      <w:sz w:val="24"/>
      <w:szCs w:val="24"/>
    </w:rPr>
  </w:style>
  <w:style w:type="paragraph" w:styleId="TOC3">
    <w:name w:val="toc 3"/>
    <w:basedOn w:val="Normal"/>
    <w:next w:val="Normal"/>
    <w:autoRedefine/>
    <w:uiPriority w:val="39"/>
    <w:semiHidden/>
    <w:unhideWhenUsed/>
    <w:rsid w:val="00D3490B"/>
    <w:pPr>
      <w:spacing w:after="0"/>
      <w:ind w:left="440"/>
    </w:pPr>
    <w:rPr>
      <w:sz w:val="20"/>
      <w:szCs w:val="20"/>
    </w:rPr>
  </w:style>
  <w:style w:type="paragraph" w:styleId="TOC4">
    <w:name w:val="toc 4"/>
    <w:basedOn w:val="Normal"/>
    <w:next w:val="Normal"/>
    <w:autoRedefine/>
    <w:uiPriority w:val="39"/>
    <w:semiHidden/>
    <w:unhideWhenUsed/>
    <w:rsid w:val="00D3490B"/>
    <w:pPr>
      <w:spacing w:after="0"/>
      <w:ind w:left="660"/>
    </w:pPr>
    <w:rPr>
      <w:sz w:val="20"/>
      <w:szCs w:val="20"/>
    </w:rPr>
  </w:style>
  <w:style w:type="paragraph" w:styleId="TOC5">
    <w:name w:val="toc 5"/>
    <w:basedOn w:val="Normal"/>
    <w:next w:val="Normal"/>
    <w:autoRedefine/>
    <w:uiPriority w:val="39"/>
    <w:semiHidden/>
    <w:unhideWhenUsed/>
    <w:rsid w:val="00D3490B"/>
    <w:pPr>
      <w:spacing w:after="0"/>
      <w:ind w:left="880"/>
    </w:pPr>
    <w:rPr>
      <w:sz w:val="20"/>
      <w:szCs w:val="20"/>
    </w:rPr>
  </w:style>
  <w:style w:type="paragraph" w:styleId="TOC6">
    <w:name w:val="toc 6"/>
    <w:basedOn w:val="Normal"/>
    <w:next w:val="Normal"/>
    <w:autoRedefine/>
    <w:uiPriority w:val="39"/>
    <w:semiHidden/>
    <w:unhideWhenUsed/>
    <w:rsid w:val="00D3490B"/>
    <w:pPr>
      <w:spacing w:after="0"/>
      <w:ind w:left="1100"/>
    </w:pPr>
    <w:rPr>
      <w:sz w:val="20"/>
      <w:szCs w:val="20"/>
    </w:rPr>
  </w:style>
  <w:style w:type="paragraph" w:styleId="TOC7">
    <w:name w:val="toc 7"/>
    <w:basedOn w:val="Normal"/>
    <w:next w:val="Normal"/>
    <w:autoRedefine/>
    <w:uiPriority w:val="39"/>
    <w:semiHidden/>
    <w:unhideWhenUsed/>
    <w:rsid w:val="00D3490B"/>
    <w:pPr>
      <w:spacing w:after="0"/>
      <w:ind w:left="1320"/>
    </w:pPr>
    <w:rPr>
      <w:sz w:val="20"/>
      <w:szCs w:val="20"/>
    </w:rPr>
  </w:style>
  <w:style w:type="paragraph" w:styleId="TOC8">
    <w:name w:val="toc 8"/>
    <w:basedOn w:val="Normal"/>
    <w:next w:val="Normal"/>
    <w:autoRedefine/>
    <w:uiPriority w:val="39"/>
    <w:semiHidden/>
    <w:unhideWhenUsed/>
    <w:rsid w:val="00D3490B"/>
    <w:pPr>
      <w:spacing w:after="0"/>
      <w:ind w:left="1540"/>
    </w:pPr>
    <w:rPr>
      <w:sz w:val="20"/>
      <w:szCs w:val="20"/>
    </w:rPr>
  </w:style>
  <w:style w:type="paragraph" w:styleId="TOC9">
    <w:name w:val="toc 9"/>
    <w:basedOn w:val="Normal"/>
    <w:next w:val="Normal"/>
    <w:autoRedefine/>
    <w:uiPriority w:val="39"/>
    <w:semiHidden/>
    <w:unhideWhenUsed/>
    <w:rsid w:val="00D3490B"/>
    <w:pPr>
      <w:spacing w:after="0"/>
      <w:ind w:left="1760"/>
    </w:pPr>
    <w:rPr>
      <w:sz w:val="20"/>
      <w:szCs w:val="20"/>
    </w:rPr>
  </w:style>
  <w:style w:type="paragraph" w:styleId="Title">
    <w:name w:val="Title"/>
    <w:basedOn w:val="Heading1"/>
    <w:next w:val="Normal"/>
    <w:link w:val="TitleChar"/>
    <w:uiPriority w:val="10"/>
    <w:qFormat/>
    <w:rsid w:val="001718EB"/>
    <w:rPr>
      <w:color w:val="000000" w:themeColor="text1"/>
    </w:rPr>
  </w:style>
  <w:style w:type="character" w:styleId="TitleChar" w:customStyle="1">
    <w:name w:val="Title Char"/>
    <w:basedOn w:val="DefaultParagraphFont"/>
    <w:link w:val="Title"/>
    <w:uiPriority w:val="10"/>
    <w:rsid w:val="001718EB"/>
    <w:rPr>
      <w:rFonts w:ascii="Calibri" w:hAnsi="Calibri" w:eastAsia="Times New Roman" w:cs="Arial"/>
      <w:b/>
      <w:color w:val="000000" w:themeColor="text1"/>
      <w:sz w:val="32"/>
      <w:szCs w:val="32"/>
    </w:rPr>
  </w:style>
  <w:style w:type="character" w:styleId="FollowedHyperlink">
    <w:name w:val="FollowedHyperlink"/>
    <w:basedOn w:val="DefaultParagraphFont"/>
    <w:uiPriority w:val="99"/>
    <w:semiHidden/>
    <w:unhideWhenUsed/>
    <w:rsid w:val="00A037F1"/>
    <w:rPr>
      <w:color w:val="954F72" w:themeColor="followedHyperlink"/>
      <w:u w:val="single"/>
    </w:rPr>
  </w:style>
  <w:style w:type="character" w:styleId="UnresolvedMention">
    <w:name w:val="Unresolved Mention"/>
    <w:basedOn w:val="DefaultParagraphFont"/>
    <w:uiPriority w:val="99"/>
    <w:unhideWhenUsed/>
    <w:rsid w:val="00D52667"/>
    <w:rPr>
      <w:color w:val="605E5C"/>
      <w:shd w:val="clear" w:color="auto" w:fill="E1DFDD"/>
    </w:rPr>
  </w:style>
  <w:style w:type="character" w:styleId="Mention">
    <w:name w:val="Mention"/>
    <w:basedOn w:val="DefaultParagraphFont"/>
    <w:uiPriority w:val="99"/>
    <w:unhideWhenUsed/>
    <w:rsid w:val="00D52667"/>
    <w:rPr>
      <w:color w:val="2B579A"/>
      <w:shd w:val="clear" w:color="auto" w:fill="E1DFDD"/>
    </w:rPr>
  </w:style>
  <w:style w:type="character" w:styleId="Heading5Char" w:customStyle="1">
    <w:name w:val="Heading 5 Char"/>
    <w:basedOn w:val="DefaultParagraphFont"/>
    <w:link w:val="Heading5"/>
    <w:uiPriority w:val="9"/>
    <w:semiHidden/>
    <w:rsid w:val="0019494F"/>
    <w:rPr>
      <w:rFonts w:asciiTheme="majorHAnsi" w:hAnsiTheme="majorHAnsi" w:eastAsiaTheme="majorEastAsia" w:cstheme="majorBidi"/>
      <w:color w:val="2F5496" w:themeColor="accent1" w:themeShade="BF"/>
    </w:rPr>
  </w:style>
  <w:style w:type="character" w:styleId="Strong">
    <w:name w:val="Strong"/>
    <w:basedOn w:val="DefaultParagraphFont"/>
    <w:uiPriority w:val="22"/>
    <w:qFormat/>
    <w:rsid w:val="00194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0907">
      <w:bodyDiv w:val="1"/>
      <w:marLeft w:val="0"/>
      <w:marRight w:val="0"/>
      <w:marTop w:val="0"/>
      <w:marBottom w:val="0"/>
      <w:divBdr>
        <w:top w:val="none" w:sz="0" w:space="0" w:color="auto"/>
        <w:left w:val="none" w:sz="0" w:space="0" w:color="auto"/>
        <w:bottom w:val="none" w:sz="0" w:space="0" w:color="auto"/>
        <w:right w:val="none" w:sz="0" w:space="0" w:color="auto"/>
      </w:divBdr>
    </w:div>
    <w:div w:id="258831130">
      <w:bodyDiv w:val="1"/>
      <w:marLeft w:val="0"/>
      <w:marRight w:val="0"/>
      <w:marTop w:val="0"/>
      <w:marBottom w:val="0"/>
      <w:divBdr>
        <w:top w:val="none" w:sz="0" w:space="0" w:color="auto"/>
        <w:left w:val="none" w:sz="0" w:space="0" w:color="auto"/>
        <w:bottom w:val="none" w:sz="0" w:space="0" w:color="auto"/>
        <w:right w:val="none" w:sz="0" w:space="0" w:color="auto"/>
      </w:divBdr>
    </w:div>
    <w:div w:id="434636149">
      <w:bodyDiv w:val="1"/>
      <w:marLeft w:val="0"/>
      <w:marRight w:val="0"/>
      <w:marTop w:val="0"/>
      <w:marBottom w:val="0"/>
      <w:divBdr>
        <w:top w:val="none" w:sz="0" w:space="0" w:color="auto"/>
        <w:left w:val="none" w:sz="0" w:space="0" w:color="auto"/>
        <w:bottom w:val="none" w:sz="0" w:space="0" w:color="auto"/>
        <w:right w:val="none" w:sz="0" w:space="0" w:color="auto"/>
      </w:divBdr>
    </w:div>
    <w:div w:id="496506779">
      <w:bodyDiv w:val="1"/>
      <w:marLeft w:val="0"/>
      <w:marRight w:val="0"/>
      <w:marTop w:val="0"/>
      <w:marBottom w:val="0"/>
      <w:divBdr>
        <w:top w:val="none" w:sz="0" w:space="0" w:color="auto"/>
        <w:left w:val="none" w:sz="0" w:space="0" w:color="auto"/>
        <w:bottom w:val="none" w:sz="0" w:space="0" w:color="auto"/>
        <w:right w:val="none" w:sz="0" w:space="0" w:color="auto"/>
      </w:divBdr>
    </w:div>
    <w:div w:id="723335872">
      <w:bodyDiv w:val="1"/>
      <w:marLeft w:val="0"/>
      <w:marRight w:val="0"/>
      <w:marTop w:val="0"/>
      <w:marBottom w:val="0"/>
      <w:divBdr>
        <w:top w:val="none" w:sz="0" w:space="0" w:color="auto"/>
        <w:left w:val="none" w:sz="0" w:space="0" w:color="auto"/>
        <w:bottom w:val="none" w:sz="0" w:space="0" w:color="auto"/>
        <w:right w:val="none" w:sz="0" w:space="0" w:color="auto"/>
      </w:divBdr>
    </w:div>
    <w:div w:id="818499145">
      <w:bodyDiv w:val="1"/>
      <w:marLeft w:val="0"/>
      <w:marRight w:val="0"/>
      <w:marTop w:val="0"/>
      <w:marBottom w:val="0"/>
      <w:divBdr>
        <w:top w:val="none" w:sz="0" w:space="0" w:color="auto"/>
        <w:left w:val="none" w:sz="0" w:space="0" w:color="auto"/>
        <w:bottom w:val="none" w:sz="0" w:space="0" w:color="auto"/>
        <w:right w:val="none" w:sz="0" w:space="0" w:color="auto"/>
      </w:divBdr>
    </w:div>
    <w:div w:id="1109005675">
      <w:bodyDiv w:val="1"/>
      <w:marLeft w:val="0"/>
      <w:marRight w:val="0"/>
      <w:marTop w:val="0"/>
      <w:marBottom w:val="0"/>
      <w:divBdr>
        <w:top w:val="none" w:sz="0" w:space="0" w:color="auto"/>
        <w:left w:val="none" w:sz="0" w:space="0" w:color="auto"/>
        <w:bottom w:val="none" w:sz="0" w:space="0" w:color="auto"/>
        <w:right w:val="none" w:sz="0" w:space="0" w:color="auto"/>
      </w:divBdr>
    </w:div>
    <w:div w:id="1576403050">
      <w:bodyDiv w:val="1"/>
      <w:marLeft w:val="0"/>
      <w:marRight w:val="0"/>
      <w:marTop w:val="0"/>
      <w:marBottom w:val="0"/>
      <w:divBdr>
        <w:top w:val="none" w:sz="0" w:space="0" w:color="auto"/>
        <w:left w:val="none" w:sz="0" w:space="0" w:color="auto"/>
        <w:bottom w:val="none" w:sz="0" w:space="0" w:color="auto"/>
        <w:right w:val="none" w:sz="0" w:space="0" w:color="auto"/>
      </w:divBdr>
    </w:div>
    <w:div w:id="1672221521">
      <w:bodyDiv w:val="1"/>
      <w:marLeft w:val="0"/>
      <w:marRight w:val="0"/>
      <w:marTop w:val="0"/>
      <w:marBottom w:val="0"/>
      <w:divBdr>
        <w:top w:val="none" w:sz="0" w:space="0" w:color="auto"/>
        <w:left w:val="none" w:sz="0" w:space="0" w:color="auto"/>
        <w:bottom w:val="none" w:sz="0" w:space="0" w:color="auto"/>
        <w:right w:val="none" w:sz="0" w:space="0" w:color="auto"/>
      </w:divBdr>
    </w:div>
    <w:div w:id="1757171491">
      <w:bodyDiv w:val="1"/>
      <w:marLeft w:val="0"/>
      <w:marRight w:val="0"/>
      <w:marTop w:val="0"/>
      <w:marBottom w:val="0"/>
      <w:divBdr>
        <w:top w:val="none" w:sz="0" w:space="0" w:color="auto"/>
        <w:left w:val="none" w:sz="0" w:space="0" w:color="auto"/>
        <w:bottom w:val="none" w:sz="0" w:space="0" w:color="auto"/>
        <w:right w:val="none" w:sz="0" w:space="0" w:color="auto"/>
      </w:divBdr>
    </w:div>
    <w:div w:id="1793741204">
      <w:bodyDiv w:val="1"/>
      <w:marLeft w:val="0"/>
      <w:marRight w:val="0"/>
      <w:marTop w:val="0"/>
      <w:marBottom w:val="0"/>
      <w:divBdr>
        <w:top w:val="none" w:sz="0" w:space="0" w:color="auto"/>
        <w:left w:val="none" w:sz="0" w:space="0" w:color="auto"/>
        <w:bottom w:val="none" w:sz="0" w:space="0" w:color="auto"/>
        <w:right w:val="none" w:sz="0" w:space="0" w:color="auto"/>
      </w:divBdr>
    </w:div>
    <w:div w:id="2018918309">
      <w:bodyDiv w:val="1"/>
      <w:marLeft w:val="0"/>
      <w:marRight w:val="0"/>
      <w:marTop w:val="0"/>
      <w:marBottom w:val="0"/>
      <w:divBdr>
        <w:top w:val="none" w:sz="0" w:space="0" w:color="auto"/>
        <w:left w:val="none" w:sz="0" w:space="0" w:color="auto"/>
        <w:bottom w:val="none" w:sz="0" w:space="0" w:color="auto"/>
        <w:right w:val="none" w:sz="0" w:space="0" w:color="auto"/>
      </w:divBdr>
    </w:div>
    <w:div w:id="20534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ergizect.com/" TargetMode="External" Id="rId13" /><Relationship Type="http://schemas.openxmlformats.org/officeDocument/2006/relationships/hyperlink" Target="mailto:ExecutiveSecretaryCTEEB@theenergygroup.biz"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nergizect.com/connecticut-energy-efficiency-board" TargetMode="External" Id="rId12" /><Relationship Type="http://schemas.openxmlformats.org/officeDocument/2006/relationships/hyperlink" Target="https://energizect.com/sites/default/files/EEB%20Operating%20Procedures_adopted%20Dec.%202013_revised%2011.13.19.pdf" TargetMode="External" Id="rId17" /><Relationship Type="http://schemas.openxmlformats.org/officeDocument/2006/relationships/customXml" Target="../customXml/item2.xml" Id="rId2" /><Relationship Type="http://schemas.openxmlformats.org/officeDocument/2006/relationships/hyperlink" Target="https://portal.ct.gov/DEEP/Environmental-Justice/Environmental-Justic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ergizect.com/connecticut-energy-efficiency-board/rfps" TargetMode="External" Id="rId11" /><Relationship Type="http://schemas.openxmlformats.org/officeDocument/2006/relationships/numbering" Target="numbering.xml" Id="rId5" /><Relationship Type="http://schemas.openxmlformats.org/officeDocument/2006/relationships/hyperlink" Target="https://energizect.com/your-town/community-partnership"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ortal.ct.gov/-/media/DEEP/energy/ConserLoadMgmt/Final-E3-Phase-I-Determination.pdf" TargetMode="External" Id="rId14" /><Relationship Type="http://schemas.openxmlformats.org/officeDocument/2006/relationships/glossaryDocument" Target="/word/glossary/document.xml" Id="Ra23437c991c543e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4a9d307-1980-463e-92a0-70d3b7aa689b}"/>
      </w:docPartPr>
      <w:docPartBody>
        <w:p w14:paraId="1D611A6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F7BD22DB32E54A9D444E2614F545ED" ma:contentTypeVersion="10" ma:contentTypeDescription="Create a new document." ma:contentTypeScope="" ma:versionID="c6066a779d5022382d76588126ad379f">
  <xsd:schema xmlns:xsd="http://www.w3.org/2001/XMLSchema" xmlns:xs="http://www.w3.org/2001/XMLSchema" xmlns:p="http://schemas.microsoft.com/office/2006/metadata/properties" xmlns:ns1="http://schemas.microsoft.com/sharepoint/v3" xmlns:ns2="92309ddc-3b1e-489e-97ba-af20c2443f26" xmlns:ns3="63fa969c-ac95-4033-87e0-78467e37564b" targetNamespace="http://schemas.microsoft.com/office/2006/metadata/properties" ma:root="true" ma:fieldsID="9650486567931b600d7e97892cb102d7" ns1:_="" ns2:_="" ns3:_="">
    <xsd:import namespace="http://schemas.microsoft.com/sharepoint/v3"/>
    <xsd:import namespace="92309ddc-3b1e-489e-97ba-af20c2443f26"/>
    <xsd:import namespace="63fa969c-ac95-4033-87e0-78467e3756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9ddc-3b1e-489e-97ba-af20c2443f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a969c-ac95-4033-87e0-78467e3756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65CB8-17A1-2045-A8E0-47D305CC271F}">
  <ds:schemaRefs>
    <ds:schemaRef ds:uri="http://schemas.openxmlformats.org/officeDocument/2006/bibliography"/>
  </ds:schemaRefs>
</ds:datastoreItem>
</file>

<file path=customXml/itemProps2.xml><?xml version="1.0" encoding="utf-8"?>
<ds:datastoreItem xmlns:ds="http://schemas.openxmlformats.org/officeDocument/2006/customXml" ds:itemID="{FEEB3CC7-910D-4FFA-A425-02B263AE9147}">
  <ds:schemaRefs>
    <ds:schemaRef ds:uri="http://schemas.microsoft.com/sharepoint/v3/contenttype/forms"/>
  </ds:schemaRefs>
</ds:datastoreItem>
</file>

<file path=customXml/itemProps3.xml><?xml version="1.0" encoding="utf-8"?>
<ds:datastoreItem xmlns:ds="http://schemas.openxmlformats.org/officeDocument/2006/customXml" ds:itemID="{7C4A6AE0-4DE8-48BA-932A-1FF8222C7040}">
  <ds:schemaRef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63fa969c-ac95-4033-87e0-78467e37564b"/>
    <ds:schemaRef ds:uri="http://purl.org/dc/terms/"/>
    <ds:schemaRef ds:uri="92309ddc-3b1e-489e-97ba-af20c2443f26"/>
    <ds:schemaRef ds:uri="http://www.w3.org/XML/1998/namespace"/>
    <ds:schemaRef ds:uri="http://purl.org/dc/dcmitype/"/>
  </ds:schemaRefs>
</ds:datastoreItem>
</file>

<file path=customXml/itemProps4.xml><?xml version="1.0" encoding="utf-8"?>
<ds:datastoreItem xmlns:ds="http://schemas.openxmlformats.org/officeDocument/2006/customXml" ds:itemID="{8FD233E5-4570-4C6C-9155-C97EB5293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309ddc-3b1e-489e-97ba-af20c2443f26"/>
    <ds:schemaRef ds:uri="63fa969c-ac95-4033-87e0-78467e375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CT DEEP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Donatelli, Kate</dc:creator>
  <keywords/>
  <dc:description/>
  <lastModifiedBy>Donatelli, Kate</lastModifiedBy>
  <revision>3</revision>
  <dcterms:created xsi:type="dcterms:W3CDTF">2021-11-10T17:12:00.0000000Z</dcterms:created>
  <dcterms:modified xsi:type="dcterms:W3CDTF">2021-11-11T15:50:48.6896534Z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0x010100B2F7BD22DB32E54A9D444E2614F545ED</vt:lpwstr>
  </property>
</Properties>
</file>